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OFERTA ECONÓMICA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C – Propuesta Económica (C.1)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GAIX-ESP-2026-006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Servicio de diseño gráfico, edición de vídeo y gestión de comunidad en redes sociales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PRESENTA la siguiente oferta económica para la licitación GAIX-ESP-2026-006 — «Servicio de diseño gráfico, edición de vídeo y gestión de comunidad en redes sociales» — convocada por Asociación Gaia-X España: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A) SERVICIO RECURRENTE — cuota fija mensual (1/6 del total para la vigencia del contrato)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El importe de este apartado A incluye igualmente el coste de la elaboración inicial del dossier corporativo y el manual de identidad visual de GAIA-X España (Parte I del Pliego). Esta tarea no se factura de forma independiente ni genera un importe diferenciado: su coste queda absorbido en la cuota fija mensual del servicio recurrente (Parte III, apartado "Forma de pago").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total —6 meses— (IVA excluido)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Diseño gráfico y edición de vídeo (media de 6 piezas/mes, máx. 36 en los 6 meses de vigencia)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[IMPORTE]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Gestión de comunidad en redes sociales (monitorización y respuesta diaria)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[IMPORTE] €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Elaboración inicial del dossier corporativo y manual de identidad visual (incluido, sin coste diferenciado)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Incluido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Otros costes (especificar)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[IMPORTE] €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SUBTOTAL SERVICIO RECURRENTE (IVA excluido)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A] €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B) BOLSA DE HORAS DE SOPORTE — facturación variable, según consumo (máx. 50h)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Solicitudes adicionales o puntuales que excedan el alcance recurrente (Parte I del Pliego) — entre ellas la actualización del documento de estrategia de comunicación de la Asociación, y el volumen de piezas de diseño gráfico o vídeo que exceda las 36 piezas del alcance recurrente (6 meses de vigencia del contrato). El importe de esta bolsa NO se factura de forma fija: se paga únicamente por las horas efectivamente consumidas, dentro del máximo indicado, y se incluye en la factura mensual como concepto variable diferenciado (Parte III, apartado "Forma de pago").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(IVA excluido)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Precio por hora de la bolsa (€/h)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[PRECIO/H]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Importe máximo de la bolsa (50h × precio/hora)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[SUBTOTAL B] €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RESUMEN Y TOTAL DE LA OFERTA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(IVA excluido)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A) Subtotal servicio recurrente (cuota fija, 6 meses)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A]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B) Importe máximo bolsa de horas de soporte (50h)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[SUBTOTAL B] €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SUBTOTAL OFERTA — A + B (IVA excluido)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Tipo de IVA aplicable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[21] %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Importe del IVA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[IMPORTE IVA]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TOTAL OFERTA (IVA incluido)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[IMPORTE TOTAL] €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Importe total en letra (IVA excluido, A + B): [IMPORTE EN LETRA] euros.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El importe total de la oferta (A + B, IVA excluido) no puede superar el presupuesto máximo de licitación, aunque la bolsa de horas (B) se facture posteriormente solo por consumo efectivo. Este mismo importe total (A + B) es el que se emplea como "Oferta evaluada" en la fórmula de puntuación económica de la Parte IV del Pliego.</w:t>
      </w:r>
    </w:p>
    <w:p>
      <w:pPr>
        <w:spacing w:before="40" w:after="80"/>
      </w:pPr>
      <w:r>
        <w:rPr>
          <w:rFonts w:ascii="Times New Roman" w:hAnsi="Times New Roman"/>
          <w:b/>
          <w:color w:val="C55A11"/>
          <w:sz w:val="20"/>
        </w:rPr>
        <w:t>⚠  El presupuesto máximo (base de licitación) es de 9.500,00 € (IVA excluido). Las ofertas que superen dicho importe serán excluidas automáticamente del procedimiento de licitación.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Se considerarán anormalmente bajas las ofertas cuyo importe total (A + B) sea inferior en más de un 25 % a la media de las ofertas admitidas. En tal caso se solicitará justificación al oferente y, de no resultar convincente respecto a la viabilidad de la ejecución con la calidad exigida, la oferta será excluida.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oferta tiene una validez de 60 días naturales a contar desde la fecha límite de presentación (21 de septiembre de 2026 (14 días naturales desde la publicación prevista el 7 de septiembre de 2026)), período durante el cual el licitador queda vinculado irrevocablemente a sus términos.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Forma de pago (Parte III del Pliego): el servicio se paga mediante una factura única mensual con dos conceptos diferenciados: (1) cuota fija equivalente a 1/6 del subtotal A (servicio recurrente, incluida la elaboración inicial del dossier corporativo y el manual de identidad visual), correspondiente a seis (6) cuotas iguales; y (2) importe variable por las horas de la bolsa (subtotal B) efectivamente consumidas ese mes, al precio por hora ofertado. Cada factura mensual deberá ajustarse a los requisitos legales vigentes, emitirse a nombre de Asociación Gaia-X España (CIF: G72514771), y pagarse en el plazo de 30 días desde su recepción y validación.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Facturación específica septiembre-noviembre 2026 (Parte III del Pliego): GAIA-X España podrá solicitar, durante esos tres meses del año 2026, la emisión de facturas independientes y desglosadas por los servicios susceptibles de imputación a la subvención nominativa de la Asociación, sin alterar el importe total facturado por el adjudicatario en el conjunto del contrato. El licitador deberá estar en condiciones de emitir dichas facturas, a más tardar, el 30 de noviembre de 2026, si así se le solicita.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