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rFonts w:ascii="Calibri" w:hAnsi="Calibri"/>
          <w:b/>
          <w:color w:val="1F5C99"/>
          <w:sz w:val="28"/>
        </w:rPr>
        <w:t>PROPUESTA TÉCNICA</w:t>
      </w:r>
    </w:p>
    <w:p>
      <w:pPr>
        <w:spacing w:after="40"/>
      </w:pPr>
      <w:r>
        <w:rPr>
          <w:rFonts w:ascii="Calibri" w:hAnsi="Calibri"/>
          <w:color w:val="1F5C99"/>
          <w:sz w:val="22"/>
        </w:rPr>
        <w:t>Archivo B – Documentación Técnica (B.1)</w:t>
      </w:r>
    </w:p>
    <w:p>
      <w:pPr>
        <w:pBdr>
          <w:bottom w:val="single" w:sz="6" w:space="1" w:color="2E74B5"/>
        </w:pBdr>
      </w:pPr>
    </w:p>
    <w:p/>
    <w:tbl>
      <w:tblPr>
        <w:tblStyle w:val="TableGrid"/>
        <w:tblW w:type="auto" w:w="0"/>
        <w:jc w:val="left"/>
        <w:tblLook w:firstColumn="1" w:firstRow="1" w:lastColumn="0" w:lastRow="0" w:noHBand="0" w:noVBand="1" w:val="04A0"/>
      </w:tblPr>
      <w:tblGrid>
        <w:gridCol w:w="4561"/>
        <w:gridCol w:w="4561"/>
      </w:tblGrid>
      <w:tr>
        <w:tc>
          <w:tcPr>
            <w:tcW w:type="dxa" w:w="3402"/>
            <w:shd w:val="clear" w:color="auto" w:fill="1F5C99"/>
            <w:vAlign w:val="center"/>
          </w:tcPr>
          <w:p>
            <w:r>
              <w:rPr>
                <w:rFonts w:ascii="Calibri" w:hAnsi="Calibri"/>
                <w:b/>
                <w:color w:val="FFFFFF"/>
                <w:sz w:val="20"/>
              </w:rPr>
              <w:t>Campo</w:t>
            </w:r>
          </w:p>
        </w:tc>
        <w:tc>
          <w:tcPr>
            <w:tcW w:type="dxa" w:w="5669"/>
            <w:shd w:val="clear" w:color="auto" w:fill="1F5C99"/>
            <w:vAlign w:val="center"/>
          </w:tcPr>
          <w:p>
            <w:r>
              <w:rPr>
                <w:rFonts w:ascii="Calibri" w:hAnsi="Calibri"/>
                <w:b/>
                <w:color w:val="FFFFFF"/>
                <w:sz w:val="20"/>
              </w:rPr>
              <w:t>Valor</w:t>
            </w:r>
          </w:p>
        </w:tc>
      </w:tr>
      <w:tr>
        <w:tc>
          <w:tcPr>
            <w:tcW w:type="dxa" w:w="3402"/>
            <w:shd w:val="clear" w:color="auto" w:fill="F2F2F2"/>
          </w:tcPr>
          <w:p>
            <w:r>
              <w:rPr>
                <w:rFonts w:ascii="Times New Roman" w:hAnsi="Times New Roman"/>
                <w:sz w:val="20"/>
              </w:rPr>
              <w:t>Referencia del expediente</w:t>
            </w:r>
          </w:p>
        </w:tc>
        <w:tc>
          <w:tcPr>
            <w:tcW w:type="dxa" w:w="5669"/>
            <w:shd w:val="clear" w:color="auto" w:fill="F2F2F2"/>
          </w:tcPr>
          <w:p>
            <w:r>
              <w:rPr>
                <w:rFonts w:ascii="Times New Roman" w:hAnsi="Times New Roman"/>
                <w:sz w:val="20"/>
              </w:rPr>
              <w:t>GAIX-ESP-2026-006</w:t>
            </w:r>
          </w:p>
        </w:tc>
      </w:tr>
      <w:tr>
        <w:tc>
          <w:tcPr>
            <w:tcW w:type="dxa" w:w="3402"/>
          </w:tcPr>
          <w:p>
            <w:r>
              <w:rPr>
                <w:rFonts w:ascii="Times New Roman" w:hAnsi="Times New Roman"/>
                <w:sz w:val="20"/>
              </w:rPr>
              <w:t>Entidad convocante</w:t>
            </w:r>
          </w:p>
        </w:tc>
        <w:tc>
          <w:tcPr>
            <w:tcW w:type="dxa" w:w="5669"/>
          </w:tcPr>
          <w:p>
            <w:r>
              <w:rPr>
                <w:rFonts w:ascii="Times New Roman" w:hAnsi="Times New Roman"/>
                <w:sz w:val="20"/>
              </w:rPr>
              <w:t>Asociación Gaia-X España (CIF: G72514771)</w:t>
            </w:r>
          </w:p>
        </w:tc>
      </w:tr>
      <w:tr>
        <w:tc>
          <w:tcPr>
            <w:tcW w:type="dxa" w:w="3402"/>
            <w:shd w:val="clear" w:color="auto" w:fill="F2F2F2"/>
          </w:tcPr>
          <w:p>
            <w:r>
              <w:rPr>
                <w:rFonts w:ascii="Times New Roman" w:hAnsi="Times New Roman"/>
                <w:sz w:val="20"/>
              </w:rPr>
              <w:t>Objeto de la licitación</w:t>
            </w:r>
          </w:p>
        </w:tc>
        <w:tc>
          <w:tcPr>
            <w:tcW w:type="dxa" w:w="5669"/>
            <w:shd w:val="clear" w:color="auto" w:fill="F2F2F2"/>
          </w:tcPr>
          <w:p>
            <w:r>
              <w:rPr>
                <w:rFonts w:ascii="Times New Roman" w:hAnsi="Times New Roman"/>
                <w:sz w:val="20"/>
              </w:rPr>
              <w:t>Servicio de diseño gráfico, edición de vídeo y gestión de comunidad en redes sociales</w:t>
            </w:r>
          </w:p>
        </w:tc>
      </w:tr>
      <w:tr>
        <w:tc>
          <w:tcPr>
            <w:tcW w:type="dxa" w:w="3402"/>
          </w:tcPr>
          <w:p>
            <w:r>
              <w:rPr>
                <w:rFonts w:ascii="Times New Roman" w:hAnsi="Times New Roman"/>
                <w:sz w:val="20"/>
              </w:rPr>
              <w:t>Presupuesto máximo (IVA excl.)</w:t>
            </w:r>
          </w:p>
        </w:tc>
        <w:tc>
          <w:tcPr>
            <w:tcW w:type="dxa" w:w="5669"/>
          </w:tcPr>
          <w:p>
            <w:r>
              <w:rPr>
                <w:rFonts w:ascii="Times New Roman" w:hAnsi="Times New Roman"/>
                <w:sz w:val="20"/>
              </w:rPr>
              <w:t>9.500,00 € (IVA excluido)</w:t>
            </w:r>
          </w:p>
        </w:tc>
      </w:tr>
      <w:tr>
        <w:tc>
          <w:tcPr>
            <w:tcW w:type="dxa" w:w="3402"/>
            <w:shd w:val="clear" w:color="auto" w:fill="F2F2F2"/>
          </w:tcPr>
          <w:p>
            <w:r>
              <w:rPr>
                <w:rFonts w:ascii="Times New Roman" w:hAnsi="Times New Roman"/>
                <w:sz w:val="20"/>
              </w:rPr>
              <w:t>Plazo de presentación</w:t>
            </w:r>
          </w:p>
        </w:tc>
        <w:tc>
          <w:tcPr>
            <w:tcW w:type="dxa" w:w="5669"/>
            <w:shd w:val="clear" w:color="auto" w:fill="F2F2F2"/>
          </w:tcPr>
          <w:p>
            <w:r>
              <w:rPr>
                <w:rFonts w:ascii="Times New Roman" w:hAnsi="Times New Roman"/>
                <w:sz w:val="20"/>
              </w:rPr>
              <w:t>21 de septiembre de 2026 (14 días naturales desde la publicación prevista el 7 de septiembre de 2026)</w:t>
            </w:r>
          </w:p>
        </w:tc>
      </w:tr>
      <w:tr>
        <w:tc>
          <w:tcPr>
            <w:tcW w:type="dxa" w:w="3402"/>
          </w:tcPr>
          <w:p>
            <w:r>
              <w:rPr>
                <w:rFonts w:ascii="Times New Roman" w:hAnsi="Times New Roman"/>
                <w:sz w:val="20"/>
              </w:rPr>
              <w:t>Canal de envío</w:t>
            </w:r>
          </w:p>
        </w:tc>
        <w:tc>
          <w:tcPr>
            <w:tcW w:type="dxa" w:w="5669"/>
          </w:tcPr>
          <w:p>
            <w:r>
              <w:rPr>
                <w:rFonts w:ascii="Times New Roman" w:hAnsi="Times New Roman"/>
                <w:sz w:val="20"/>
              </w:rPr>
              <w:t>administracion@gaiax-spain.com</w:t>
            </w:r>
          </w:p>
        </w:tc>
      </w:tr>
      <w:tr>
        <w:tc>
          <w:tcPr>
            <w:tcW w:type="dxa" w:w="3402"/>
            <w:shd w:val="clear" w:color="auto" w:fill="F2F2F2"/>
          </w:tcPr>
          <w:p>
            <w:r>
              <w:rPr>
                <w:rFonts w:ascii="Times New Roman" w:hAnsi="Times New Roman"/>
                <w:sz w:val="20"/>
              </w:rPr>
              <w:t>Asunto del correo</w:t>
            </w:r>
          </w:p>
        </w:tc>
        <w:tc>
          <w:tcPr>
            <w:tcW w:type="dxa" w:w="5669"/>
            <w:shd w:val="clear" w:color="auto" w:fill="F2F2F2"/>
          </w:tcPr>
          <w:p>
            <w:r>
              <w:rPr>
                <w:rFonts w:ascii="Times New Roman" w:hAnsi="Times New Roman"/>
                <w:sz w:val="20"/>
              </w:rPr>
              <w:t>Oferta Servicio de Comunicación GAIA-X España – [Nombre del Licitador]</w:t>
            </w:r>
          </w:p>
        </w:tc>
      </w:tr>
    </w:tbl>
    <w:p/>
    <w:p>
      <w:pPr>
        <w:spacing w:before="40" w:after="80"/>
      </w:pPr>
      <w:r>
        <w:rPr>
          <w:rFonts w:ascii="Times New Roman" w:hAnsi="Times New Roman"/>
          <w:sz w:val="21"/>
        </w:rPr>
        <w:t>El presente documento constituye la plantilla del Archivo B.1 (Propuesta Técnica). El licitador deberá cumplimentar todas las secciones marcadas y eliminar las instrucciones en cursiva antes de presentar su oferta. Los Archivos A, B y C deben enviarse como documentos independientes, sin mezclar contenido entre ellos.</w:t>
      </w:r>
    </w:p>
    <w:p>
      <w:pPr>
        <w:spacing w:before="200" w:after="80"/>
      </w:pPr>
      <w:r>
        <w:rPr>
          <w:rFonts w:ascii="Calibri" w:hAnsi="Calibri"/>
          <w:b/>
          <w:sz w:val="22"/>
        </w:rPr>
        <w:t>ÍNDICE</w:t>
      </w:r>
    </w:p>
    <w:tbl>
      <w:tblPr>
        <w:tblStyle w:val="TableGrid"/>
        <w:tblW w:type="auto" w:w="0"/>
        <w:jc w:val="left"/>
        <w:tblLook w:firstColumn="1" w:firstRow="1" w:lastColumn="0" w:lastRow="0" w:noHBand="0" w:noVBand="1" w:val="04A0"/>
      </w:tblPr>
      <w:tblGrid>
        <w:gridCol w:w="3041"/>
        <w:gridCol w:w="3041"/>
        <w:gridCol w:w="3041"/>
      </w:tblGrid>
      <w:tr>
        <w:tc>
          <w:tcPr>
            <w:tcW w:type="dxa" w:w="567"/>
            <w:shd w:val="clear" w:color="auto" w:fill="1F5C99"/>
            <w:vAlign w:val="center"/>
          </w:tcPr>
          <w:p>
            <w:r>
              <w:rPr>
                <w:rFonts w:ascii="Calibri" w:hAnsi="Calibri"/>
                <w:b/>
                <w:color w:val="FFFFFF"/>
                <w:sz w:val="19"/>
              </w:rPr>
              <w:t>§</w:t>
            </w:r>
          </w:p>
        </w:tc>
        <w:tc>
          <w:tcPr>
            <w:tcW w:type="dxa" w:w="5102"/>
            <w:shd w:val="clear" w:color="auto" w:fill="1F5C99"/>
            <w:vAlign w:val="center"/>
          </w:tcPr>
          <w:p>
            <w:r>
              <w:rPr>
                <w:rFonts w:ascii="Calibri" w:hAnsi="Calibri"/>
                <w:b/>
                <w:color w:val="FFFFFF"/>
                <w:sz w:val="19"/>
              </w:rPr>
              <w:t>Apartado</w:t>
            </w:r>
          </w:p>
        </w:tc>
        <w:tc>
          <w:tcPr>
            <w:tcW w:type="dxa" w:w="3402"/>
            <w:shd w:val="clear" w:color="auto" w:fill="1F5C99"/>
            <w:vAlign w:val="center"/>
          </w:tcPr>
          <w:p>
            <w:r>
              <w:rPr>
                <w:rFonts w:ascii="Calibri" w:hAnsi="Calibri"/>
                <w:b/>
                <w:color w:val="FFFFFF"/>
                <w:sz w:val="19"/>
              </w:rPr>
              <w:t>Criterio de valoración asociado</w:t>
            </w:r>
          </w:p>
        </w:tc>
      </w:tr>
      <w:tr>
        <w:tc>
          <w:tcPr>
            <w:tcW w:type="dxa" w:w="567"/>
            <w:shd w:val="clear" w:color="auto" w:fill="F2F2F2"/>
          </w:tcPr>
          <w:p>
            <w:r>
              <w:rPr>
                <w:rFonts w:ascii="Times New Roman" w:hAnsi="Times New Roman"/>
                <w:sz w:val="18"/>
              </w:rPr>
              <w:t>0</w:t>
            </w:r>
          </w:p>
        </w:tc>
        <w:tc>
          <w:tcPr>
            <w:tcW w:type="dxa" w:w="5102"/>
            <w:shd w:val="clear" w:color="auto" w:fill="F2F2F2"/>
          </w:tcPr>
          <w:p>
            <w:r>
              <w:rPr>
                <w:rFonts w:ascii="Times New Roman" w:hAnsi="Times New Roman"/>
                <w:sz w:val="18"/>
              </w:rPr>
              <w:t>Datos del licitador</w:t>
            </w:r>
          </w:p>
        </w:tc>
        <w:tc>
          <w:tcPr>
            <w:tcW w:type="dxa" w:w="3402"/>
            <w:shd w:val="clear" w:color="auto" w:fill="F2F2F2"/>
          </w:tcPr>
          <w:p>
            <w:r>
              <w:rPr>
                <w:rFonts w:ascii="Times New Roman" w:hAnsi="Times New Roman"/>
                <w:sz w:val="18"/>
              </w:rPr>
            </w:r>
          </w:p>
        </w:tc>
      </w:tr>
      <w:tr>
        <w:tc>
          <w:tcPr>
            <w:tcW w:type="dxa" w:w="567"/>
          </w:tcPr>
          <w:p>
            <w:r>
              <w:rPr>
                <w:rFonts w:ascii="Times New Roman" w:hAnsi="Times New Roman"/>
                <w:sz w:val="18"/>
              </w:rPr>
              <w:t>1</w:t>
            </w:r>
          </w:p>
        </w:tc>
        <w:tc>
          <w:tcPr>
            <w:tcW w:type="dxa" w:w="5102"/>
          </w:tcPr>
          <w:p>
            <w:r>
              <w:rPr>
                <w:rFonts w:ascii="Times New Roman" w:hAnsi="Times New Roman"/>
                <w:sz w:val="18"/>
              </w:rPr>
              <w:t>Experiencia previa en el sector asociativo tecnológico</w:t>
            </w:r>
          </w:p>
        </w:tc>
        <w:tc>
          <w:tcPr>
            <w:tcW w:type="dxa" w:w="3402"/>
          </w:tcPr>
          <w:p>
            <w:r>
              <w:rPr>
                <w:rFonts w:ascii="Times New Roman" w:hAnsi="Times New Roman"/>
                <w:sz w:val="18"/>
              </w:rPr>
              <w:t>Experiencia en el sector asociativo tecnológico (automático) · 10 pts</w:t>
            </w:r>
          </w:p>
        </w:tc>
      </w:tr>
      <w:tr>
        <w:tc>
          <w:tcPr>
            <w:tcW w:type="dxa" w:w="567"/>
            <w:shd w:val="clear" w:color="auto" w:fill="F2F2F2"/>
          </w:tcPr>
          <w:p>
            <w:r>
              <w:rPr>
                <w:rFonts w:ascii="Times New Roman" w:hAnsi="Times New Roman"/>
                <w:sz w:val="18"/>
              </w:rPr>
              <w:t>2</w:t>
            </w:r>
          </w:p>
        </w:tc>
        <w:tc>
          <w:tcPr>
            <w:tcW w:type="dxa" w:w="5102"/>
            <w:shd w:val="clear" w:color="auto" w:fill="F2F2F2"/>
          </w:tcPr>
          <w:p>
            <w:r>
              <w:rPr>
                <w:rFonts w:ascii="Times New Roman" w:hAnsi="Times New Roman"/>
                <w:sz w:val="18"/>
              </w:rPr>
              <w:t>Portfolio de diseño gráfico y edición de vídeo</w:t>
            </w:r>
          </w:p>
        </w:tc>
        <w:tc>
          <w:tcPr>
            <w:tcW w:type="dxa" w:w="3402"/>
            <w:shd w:val="clear" w:color="auto" w:fill="F2F2F2"/>
          </w:tcPr>
          <w:p>
            <w:r>
              <w:rPr>
                <w:rFonts w:ascii="Times New Roman" w:hAnsi="Times New Roman"/>
                <w:sz w:val="18"/>
              </w:rPr>
              <w:t>Calidad del portfolio · 30 pts</w:t>
            </w:r>
          </w:p>
        </w:tc>
      </w:tr>
      <w:tr>
        <w:tc>
          <w:tcPr>
            <w:tcW w:type="dxa" w:w="567"/>
          </w:tcPr>
          <w:p>
            <w:r>
              <w:rPr>
                <w:rFonts w:ascii="Times New Roman" w:hAnsi="Times New Roman"/>
                <w:sz w:val="18"/>
              </w:rPr>
              <w:t>3</w:t>
            </w:r>
          </w:p>
        </w:tc>
        <w:tc>
          <w:tcPr>
            <w:tcW w:type="dxa" w:w="5102"/>
          </w:tcPr>
          <w:p>
            <w:r>
              <w:rPr>
                <w:rFonts w:ascii="Times New Roman" w:hAnsi="Times New Roman"/>
                <w:sz w:val="18"/>
              </w:rPr>
              <w:t>Propuesta de gestión de comunidad en redes sociales</w:t>
            </w:r>
          </w:p>
        </w:tc>
        <w:tc>
          <w:tcPr>
            <w:tcW w:type="dxa" w:w="3402"/>
          </w:tcPr>
          <w:p>
            <w:r>
              <w:rPr>
                <w:rFonts w:ascii="Times New Roman" w:hAnsi="Times New Roman"/>
                <w:sz w:val="18"/>
              </w:rPr>
              <w:t>Gestión de comunidad · 5 pts</w:t>
            </w:r>
          </w:p>
        </w:tc>
      </w:tr>
      <w:tr>
        <w:tc>
          <w:tcPr>
            <w:tcW w:type="dxa" w:w="567"/>
            <w:shd w:val="clear" w:color="auto" w:fill="F2F2F2"/>
          </w:tcPr>
          <w:p>
            <w:r>
              <w:rPr>
                <w:rFonts w:ascii="Times New Roman" w:hAnsi="Times New Roman"/>
                <w:sz w:val="18"/>
              </w:rPr>
              <w:t>4</w:t>
            </w:r>
          </w:p>
        </w:tc>
        <w:tc>
          <w:tcPr>
            <w:tcW w:type="dxa" w:w="5102"/>
            <w:shd w:val="clear" w:color="auto" w:fill="F2F2F2"/>
          </w:tcPr>
          <w:p>
            <w:r>
              <w:rPr>
                <w:rFonts w:ascii="Times New Roman" w:hAnsi="Times New Roman"/>
                <w:sz w:val="18"/>
              </w:rPr>
              <w:t>Propuesta de coordinación con el equipo interno de comunicación</w:t>
            </w:r>
          </w:p>
        </w:tc>
        <w:tc>
          <w:tcPr>
            <w:tcW w:type="dxa" w:w="3402"/>
            <w:shd w:val="clear" w:color="auto" w:fill="F2F2F2"/>
          </w:tcPr>
          <w:p>
            <w:r>
              <w:rPr>
                <w:rFonts w:ascii="Times New Roman" w:hAnsi="Times New Roman"/>
                <w:sz w:val="18"/>
              </w:rPr>
              <w:t>Coordinación · 5 pts</w:t>
            </w:r>
          </w:p>
        </w:tc>
      </w:tr>
      <w:tr>
        <w:tc>
          <w:tcPr>
            <w:tcW w:type="dxa" w:w="567"/>
          </w:tcPr>
          <w:p>
            <w:r>
              <w:rPr>
                <w:rFonts w:ascii="Times New Roman" w:hAnsi="Times New Roman"/>
                <w:sz w:val="18"/>
              </w:rPr>
              <w:t>5</w:t>
            </w:r>
          </w:p>
        </w:tc>
        <w:tc>
          <w:tcPr>
            <w:tcW w:type="dxa" w:w="5102"/>
          </w:tcPr>
          <w:p>
            <w:r>
              <w:rPr>
                <w:rFonts w:ascii="Times New Roman" w:hAnsi="Times New Roman"/>
                <w:sz w:val="18"/>
              </w:rPr>
              <w:t>Otras mejoras propuestas</w:t>
            </w:r>
          </w:p>
        </w:tc>
        <w:tc>
          <w:tcPr>
            <w:tcW w:type="dxa" w:w="3402"/>
          </w:tcPr>
          <w:p>
            <w:r>
              <w:rPr>
                <w:rFonts w:ascii="Times New Roman" w:hAnsi="Times New Roman"/>
                <w:sz w:val="18"/>
              </w:rPr>
              <w:t>Otras mejoras · 10 pts</w:t>
            </w:r>
          </w:p>
        </w:tc>
      </w:tr>
      <w:tr>
        <w:tc>
          <w:tcPr>
            <w:tcW w:type="dxa" w:w="567"/>
            <w:shd w:val="clear" w:color="auto" w:fill="F2F2F2"/>
          </w:tcPr>
          <w:p>
            <w:r>
              <w:rPr>
                <w:rFonts w:ascii="Times New Roman" w:hAnsi="Times New Roman"/>
                <w:sz w:val="18"/>
              </w:rPr>
              <w:t>6</w:t>
            </w:r>
          </w:p>
        </w:tc>
        <w:tc>
          <w:tcPr>
            <w:tcW w:type="dxa" w:w="5102"/>
            <w:shd w:val="clear" w:color="auto" w:fill="F2F2F2"/>
          </w:tcPr>
          <w:p>
            <w:r>
              <w:rPr>
                <w:rFonts w:ascii="Times New Roman" w:hAnsi="Times New Roman"/>
                <w:sz w:val="18"/>
              </w:rPr>
              <w:t>Elaboración inicial del dossier corporativo y manual de identidad visual</w:t>
            </w:r>
          </w:p>
        </w:tc>
        <w:tc>
          <w:tcPr>
            <w:tcW w:type="dxa" w:w="3402"/>
            <w:shd w:val="clear" w:color="auto" w:fill="F2F2F2"/>
          </w:tcPr>
          <w:p>
            <w:r>
              <w:rPr>
                <w:rFonts w:ascii="Times New Roman" w:hAnsi="Times New Roman"/>
                <w:sz w:val="18"/>
              </w:rPr>
              <w:t>— (exigido, sin puntuación independiente; incluido en la cuota fija)</w:t>
            </w:r>
          </w:p>
        </w:tc>
      </w:tr>
      <w:tr>
        <w:tc>
          <w:tcPr>
            <w:tcW w:type="dxa" w:w="567"/>
          </w:tcPr>
          <w:p>
            <w:r>
              <w:rPr>
                <w:rFonts w:ascii="Times New Roman" w:hAnsi="Times New Roman"/>
                <w:sz w:val="18"/>
              </w:rPr>
              <w:t>7</w:t>
            </w:r>
          </w:p>
        </w:tc>
        <w:tc>
          <w:tcPr>
            <w:tcW w:type="dxa" w:w="5102"/>
          </w:tcPr>
          <w:p>
            <w:r>
              <w:rPr>
                <w:rFonts w:ascii="Times New Roman" w:hAnsi="Times New Roman"/>
                <w:sz w:val="18"/>
              </w:rPr>
              <w:t>Bolsa de horas de soporte (50h): metodología de gestión</w:t>
            </w:r>
          </w:p>
        </w:tc>
        <w:tc>
          <w:tcPr>
            <w:tcW w:type="dxa" w:w="3402"/>
          </w:tcPr>
          <w:p>
            <w:r>
              <w:rPr>
                <w:rFonts w:ascii="Times New Roman" w:hAnsi="Times New Roman"/>
                <w:sz w:val="18"/>
              </w:rPr>
              <w:t>— (exigido, sin puntuación independiente)</w:t>
            </w:r>
          </w:p>
        </w:tc>
      </w:tr>
      <w:tr>
        <w:tc>
          <w:tcPr>
            <w:tcW w:type="dxa" w:w="567"/>
            <w:shd w:val="clear" w:color="auto" w:fill="F2F2F2"/>
          </w:tcPr>
          <w:p>
            <w:r>
              <w:rPr>
                <w:rFonts w:ascii="Times New Roman" w:hAnsi="Times New Roman"/>
                <w:sz w:val="18"/>
              </w:rPr>
              <w:t>8</w:t>
            </w:r>
          </w:p>
        </w:tc>
        <w:tc>
          <w:tcPr>
            <w:tcW w:type="dxa" w:w="5102"/>
            <w:shd w:val="clear" w:color="auto" w:fill="F2F2F2"/>
          </w:tcPr>
          <w:p>
            <w:r>
              <w:rPr>
                <w:rFonts w:ascii="Times New Roman" w:hAnsi="Times New Roman"/>
                <w:sz w:val="18"/>
              </w:rPr>
              <w:t>Cronograma de puesta en marcha</w:t>
            </w:r>
          </w:p>
        </w:tc>
        <w:tc>
          <w:tcPr>
            <w:tcW w:type="dxa" w:w="3402"/>
            <w:shd w:val="clear" w:color="auto" w:fill="F2F2F2"/>
          </w:tcPr>
          <w:p>
            <w:r>
              <w:rPr>
                <w:rFonts w:ascii="Times New Roman" w:hAnsi="Times New Roman"/>
                <w:sz w:val="18"/>
              </w:rPr>
              <w:t>— (exigido, sin puntuación independiente)</w:t>
            </w:r>
          </w:p>
        </w:tc>
      </w:tr>
      <w:tr>
        <w:tc>
          <w:tcPr>
            <w:tcW w:type="dxa" w:w="567"/>
          </w:tcPr>
          <w:p>
            <w:r>
              <w:rPr>
                <w:rFonts w:ascii="Times New Roman" w:hAnsi="Times New Roman"/>
                <w:sz w:val="18"/>
              </w:rPr>
              <w:t>9</w:t>
            </w:r>
          </w:p>
        </w:tc>
        <w:tc>
          <w:tcPr>
            <w:tcW w:type="dxa" w:w="5102"/>
          </w:tcPr>
          <w:p>
            <w:r>
              <w:rPr>
                <w:rFonts w:ascii="Times New Roman" w:hAnsi="Times New Roman"/>
                <w:sz w:val="18"/>
              </w:rPr>
              <w:t>Compromisos adicionales (guía de marca y protección de datos)</w:t>
            </w:r>
          </w:p>
        </w:tc>
        <w:tc>
          <w:tcPr>
            <w:tcW w:type="dxa" w:w="3402"/>
          </w:tcPr>
          <w:p>
            <w:r>
              <w:rPr>
                <w:rFonts w:ascii="Times New Roman" w:hAnsi="Times New Roman"/>
                <w:sz w:val="18"/>
              </w:rPr>
              <w:t>— (exigido, sin puntuación)</w:t>
            </w:r>
          </w:p>
        </w:tc>
      </w:tr>
      <w:tr>
        <w:tc>
          <w:tcPr>
            <w:tcW w:type="dxa" w:w="567"/>
            <w:shd w:val="clear" w:color="auto" w:fill="F2F2F2"/>
          </w:tcPr>
          <w:p>
            <w:r>
              <w:rPr>
                <w:rFonts w:ascii="Times New Roman" w:hAnsi="Times New Roman"/>
                <w:sz w:val="18"/>
              </w:rPr>
              <w:t>10</w:t>
            </w:r>
          </w:p>
        </w:tc>
        <w:tc>
          <w:tcPr>
            <w:tcW w:type="dxa" w:w="5102"/>
            <w:shd w:val="clear" w:color="auto" w:fill="F2F2F2"/>
          </w:tcPr>
          <w:p>
            <w:r>
              <w:rPr>
                <w:rFonts w:ascii="Times New Roman" w:hAnsi="Times New Roman"/>
                <w:sz w:val="18"/>
              </w:rPr>
              <w:t>Listado de documentos adjuntos al Archivo B</w:t>
            </w:r>
          </w:p>
        </w:tc>
        <w:tc>
          <w:tcPr>
            <w:tcW w:type="dxa" w:w="3402"/>
            <w:shd w:val="clear" w:color="auto" w:fill="F2F2F2"/>
          </w:tcPr>
          <w:p>
            <w:r>
              <w:rPr>
                <w:rFonts w:ascii="Times New Roman" w:hAnsi="Times New Roman"/>
                <w:sz w:val="18"/>
              </w:rPr>
            </w:r>
          </w:p>
        </w:tc>
      </w:tr>
    </w:tbl>
    <w:p/>
    <w:p>
      <w:pPr>
        <w:spacing w:before="200" w:after="80"/>
      </w:pPr>
      <w:r>
        <w:rPr>
          <w:rFonts w:ascii="Calibri" w:hAnsi="Calibri"/>
          <w:b/>
          <w:sz w:val="22"/>
        </w:rPr>
        <w:t>0. DATOS DEL LICITADOR</w:t>
      </w:r>
    </w:p>
    <w:p>
      <w:pPr>
        <w:spacing w:before="40" w:after="60"/>
      </w:pPr>
      <w:r>
        <w:rPr>
          <w:rFonts w:ascii="Times New Roman" w:hAnsi="Times New Roman"/>
          <w:b/>
          <w:sz w:val="21"/>
        </w:rPr>
        <w:t xml:space="preserve">Razón social: </w:t>
      </w:r>
      <w:r>
        <w:rPr>
          <w:rFonts w:ascii="Times New Roman" w:hAnsi="Times New Roman"/>
          <w:sz w:val="21"/>
        </w:rPr>
        <w:t>[RAZÓN SOCIAL DE LA EMPRESA]</w:t>
      </w:r>
    </w:p>
    <w:p>
      <w:pPr>
        <w:spacing w:before="40" w:after="60"/>
      </w:pPr>
      <w:r>
        <w:rPr>
          <w:rFonts w:ascii="Times New Roman" w:hAnsi="Times New Roman"/>
          <w:b/>
          <w:sz w:val="21"/>
        </w:rPr>
        <w:t xml:space="preserve">CIF: </w:t>
      </w:r>
      <w:r>
        <w:rPr>
          <w:rFonts w:ascii="Times New Roman" w:hAnsi="Times New Roman"/>
          <w:sz w:val="21"/>
        </w:rPr>
        <w:t>[CIF]</w:t>
      </w:r>
    </w:p>
    <w:p>
      <w:pPr>
        <w:spacing w:before="40" w:after="60"/>
      </w:pPr>
      <w:r>
        <w:rPr>
          <w:rFonts w:ascii="Times New Roman" w:hAnsi="Times New Roman"/>
          <w:b/>
          <w:sz w:val="21"/>
        </w:rPr>
        <w:t xml:space="preserve">Domicilio: </w:t>
      </w:r>
      <w:r>
        <w:rPr>
          <w:rFonts w:ascii="Times New Roman" w:hAnsi="Times New Roman"/>
          <w:sz w:val="21"/>
        </w:rPr>
        <w:t>[DIRECCIÓN COMPLETA]</w:t>
      </w:r>
    </w:p>
    <w:p>
      <w:pPr>
        <w:spacing w:before="40" w:after="60"/>
      </w:pPr>
      <w:r>
        <w:rPr>
          <w:rFonts w:ascii="Times New Roman" w:hAnsi="Times New Roman"/>
          <w:b/>
          <w:sz w:val="21"/>
        </w:rPr>
        <w:t xml:space="preserve">Persona de contacto: </w:t>
      </w:r>
      <w:r>
        <w:rPr>
          <w:rFonts w:ascii="Times New Roman" w:hAnsi="Times New Roman"/>
          <w:sz w:val="21"/>
        </w:rPr>
        <w:t>[NOMBRE Y CARGO]</w:t>
      </w:r>
    </w:p>
    <w:p>
      <w:pPr>
        <w:spacing w:before="40" w:after="60"/>
      </w:pPr>
      <w:r>
        <w:rPr>
          <w:rFonts w:ascii="Times New Roman" w:hAnsi="Times New Roman"/>
          <w:b/>
          <w:sz w:val="21"/>
        </w:rPr>
        <w:t xml:space="preserve">Correo electrónico / teléfono: </w:t>
      </w:r>
      <w:r>
        <w:rPr>
          <w:rFonts w:ascii="Times New Roman" w:hAnsi="Times New Roman"/>
          <w:sz w:val="21"/>
        </w:rPr>
        <w:t>[CONTACTO]</w:t>
      </w:r>
    </w:p>
    <w:p/>
    <w:p>
      <w:pPr>
        <w:spacing w:before="200" w:after="80"/>
      </w:pPr>
      <w:r>
        <w:rPr>
          <w:rFonts w:ascii="Calibri" w:hAnsi="Calibri"/>
          <w:b/>
          <w:sz w:val="22"/>
        </w:rPr>
        <w:t>1. EXPERIENCIA PREVIA EN EL SECTOR ASOCIATIVO TECNOLÓGICO</w:t>
      </w:r>
    </w:p>
    <w:p>
      <w:pPr>
        <w:spacing w:before="0" w:after="120"/>
      </w:pPr>
      <w:r>
        <w:rPr>
          <w:rFonts w:ascii="Calibri" w:hAnsi="Calibri"/>
          <w:b/>
          <w:i/>
          <w:color w:val="1F5C99"/>
          <w:sz w:val="19"/>
        </w:rPr>
        <w:t>[Experiencia en el sector asociativo tecnológico (cálculo automático) · 10 pts]</w:t>
      </w:r>
    </w:p>
    <w:p>
      <w:pPr>
        <w:spacing w:before="40" w:after="80"/>
        <w:ind w:left="170"/>
      </w:pPr>
      <w:r>
        <w:rPr>
          <w:rFonts w:ascii="Times New Roman" w:hAnsi="Times New Roman"/>
          <w:i/>
          <w:color w:val="707070"/>
          <w:sz w:val="19"/>
        </w:rPr>
        <w:t>▸ Este criterio se puntúa de forma íntegramente automática conforme a la fórmula de la Parte IV del Pliego: 2 puntos por cada referencia acreditada, hasta un máximo de 10 puntos (5 referencias o más). No existe un número mínimo de referencias exigido para la admisión de la oferta.</w:t>
      </w:r>
    </w:p>
    <w:p>
      <w:pPr>
        <w:spacing w:before="40" w:after="80"/>
      </w:pPr>
      <w:r>
        <w:rPr>
          <w:rFonts w:ascii="Times New Roman" w:hAnsi="Times New Roman"/>
          <w:sz w:val="21"/>
        </w:rPr>
        <w:t>[Cumplimentar la siguiente tabla con las referencias que el licitador desee acreditar. Cada referencia identificada con cliente, objeto, fecha, alcance y persona de contacto o medio equivalente de comprobación puntúa 2 puntos, hasta un máximo de 10 puntos (5 referencias o más).]</w:t>
      </w:r>
    </w:p>
    <w:tbl>
      <w:tblPr>
        <w:tblStyle w:val="TableGrid"/>
        <w:tblW w:type="auto" w:w="0"/>
        <w:jc w:val="left"/>
        <w:tblLook w:firstColumn="1" w:firstRow="1" w:lastColumn="0" w:lastRow="0" w:noHBand="0" w:noVBand="1" w:val="04A0"/>
      </w:tblPr>
      <w:tblGrid>
        <w:gridCol w:w="3041"/>
        <w:gridCol w:w="3041"/>
        <w:gridCol w:w="3041"/>
      </w:tblGrid>
      <w:tr>
        <w:tc>
          <w:tcPr>
            <w:tcW w:type="dxa" w:w="2835"/>
            <w:shd w:val="clear" w:color="auto" w:fill="1F5C99"/>
            <w:vAlign w:val="center"/>
          </w:tcPr>
          <w:p>
            <w:r>
              <w:rPr>
                <w:rFonts w:ascii="Calibri" w:hAnsi="Calibri"/>
                <w:b/>
                <w:color w:val="FFFFFF"/>
                <w:sz w:val="20"/>
              </w:rPr>
              <w:t>Entidad cliente</w:t>
            </w:r>
          </w:p>
        </w:tc>
        <w:tc>
          <w:tcPr>
            <w:tcW w:type="dxa" w:w="4535"/>
            <w:shd w:val="clear" w:color="auto" w:fill="1F5C99"/>
            <w:vAlign w:val="center"/>
          </w:tcPr>
          <w:p>
            <w:r>
              <w:rPr>
                <w:rFonts w:ascii="Calibri" w:hAnsi="Calibri"/>
                <w:b/>
                <w:color w:val="FFFFFF"/>
                <w:sz w:val="20"/>
              </w:rPr>
              <w:t>Objeto y descripción del servicio prestado</w:t>
            </w:r>
          </w:p>
        </w:tc>
        <w:tc>
          <w:tcPr>
            <w:tcW w:type="dxa" w:w="1701"/>
            <w:shd w:val="clear" w:color="auto" w:fill="1F5C99"/>
            <w:vAlign w:val="center"/>
          </w:tcPr>
          <w:p>
            <w:r>
              <w:rPr>
                <w:rFonts w:ascii="Calibri" w:hAnsi="Calibri"/>
                <w:b/>
                <w:color w:val="FFFFFF"/>
                <w:sz w:val="20"/>
              </w:rPr>
              <w:t>Periodo de ejecución</w:t>
            </w:r>
          </w:p>
        </w:tc>
      </w:tr>
      <w:tr>
        <w:trPr>
          <w:trHeight w:val="793" w:hRule="atLeast"/>
        </w:trPr>
        <w:tc>
          <w:tcPr>
            <w:tcW w:type="dxa" w:w="2835"/>
            <w:shd w:val="clear" w:color="auto" w:fill="F2F2F2"/>
          </w:tcPr>
          <w:p/>
        </w:tc>
        <w:tc>
          <w:tcPr>
            <w:tcW w:type="dxa" w:w="4535"/>
            <w:shd w:val="clear" w:color="auto" w:fill="F2F2F2"/>
          </w:tcPr>
          <w:p/>
        </w:tc>
        <w:tc>
          <w:tcPr>
            <w:tcW w:type="dxa" w:w="1701"/>
            <w:shd w:val="clear" w:color="auto" w:fill="F2F2F2"/>
          </w:tcPr>
          <w:p/>
        </w:tc>
      </w:tr>
      <w:tr>
        <w:trPr>
          <w:trHeight w:val="793" w:hRule="atLeast"/>
        </w:trPr>
        <w:tc>
          <w:tcPr>
            <w:tcW w:type="dxa" w:w="2835"/>
            <w:shd w:val="clear" w:color="auto" w:fill="FFFFFF"/>
          </w:tcPr>
          <w:p/>
        </w:tc>
        <w:tc>
          <w:tcPr>
            <w:tcW w:type="dxa" w:w="4535"/>
            <w:shd w:val="clear" w:color="auto" w:fill="FFFFFF"/>
          </w:tcPr>
          <w:p/>
        </w:tc>
        <w:tc>
          <w:tcPr>
            <w:tcW w:type="dxa" w:w="1701"/>
            <w:shd w:val="clear" w:color="auto" w:fill="FFFFFF"/>
          </w:tcPr>
          <w:p/>
        </w:tc>
      </w:tr>
      <w:tr>
        <w:trPr>
          <w:trHeight w:val="793" w:hRule="atLeast"/>
        </w:trPr>
        <w:tc>
          <w:tcPr>
            <w:tcW w:type="dxa" w:w="2835"/>
            <w:shd w:val="clear" w:color="auto" w:fill="F2F2F2"/>
          </w:tcPr>
          <w:p/>
        </w:tc>
        <w:tc>
          <w:tcPr>
            <w:tcW w:type="dxa" w:w="4535"/>
            <w:shd w:val="clear" w:color="auto" w:fill="F2F2F2"/>
          </w:tcPr>
          <w:p/>
        </w:tc>
        <w:tc>
          <w:tcPr>
            <w:tcW w:type="dxa" w:w="1701"/>
            <w:shd w:val="clear" w:color="auto" w:fill="F2F2F2"/>
          </w:tcPr>
          <w:p/>
        </w:tc>
      </w:tr>
      <w:tr>
        <w:trPr>
          <w:trHeight w:val="793" w:hRule="atLeast"/>
        </w:trPr>
        <w:tc>
          <w:tcPr>
            <w:tcW w:type="dxa" w:w="2835"/>
            <w:shd w:val="clear" w:color="auto" w:fill="FFFFFF"/>
          </w:tcPr>
          <w:p/>
        </w:tc>
        <w:tc>
          <w:tcPr>
            <w:tcW w:type="dxa" w:w="4535"/>
            <w:shd w:val="clear" w:color="auto" w:fill="FFFFFF"/>
          </w:tcPr>
          <w:p/>
        </w:tc>
        <w:tc>
          <w:tcPr>
            <w:tcW w:type="dxa" w:w="1701"/>
            <w:shd w:val="clear" w:color="auto" w:fill="FFFFFF"/>
          </w:tcPr>
          <w:p/>
        </w:tc>
      </w:tr>
      <w:tr>
        <w:trPr>
          <w:trHeight w:val="793" w:hRule="atLeast"/>
        </w:trPr>
        <w:tc>
          <w:tcPr>
            <w:tcW w:type="dxa" w:w="2835"/>
            <w:shd w:val="clear" w:color="auto" w:fill="F2F2F2"/>
          </w:tcPr>
          <w:p/>
        </w:tc>
        <w:tc>
          <w:tcPr>
            <w:tcW w:type="dxa" w:w="4535"/>
            <w:shd w:val="clear" w:color="auto" w:fill="F2F2F2"/>
          </w:tcPr>
          <w:p/>
        </w:tc>
        <w:tc>
          <w:tcPr>
            <w:tcW w:type="dxa" w:w="1701"/>
            <w:shd w:val="clear" w:color="auto" w:fill="F2F2F2"/>
          </w:tcPr>
          <w:p/>
        </w:tc>
      </w:tr>
    </w:tbl>
    <w:p/>
    <w:p>
      <w:pPr>
        <w:spacing w:before="40" w:after="80"/>
        <w:ind w:left="170"/>
      </w:pPr>
      <w:r>
        <w:rPr>
          <w:rFonts w:ascii="Times New Roman" w:hAnsi="Times New Roman"/>
          <w:i/>
          <w:color w:val="707070"/>
          <w:sz w:val="19"/>
        </w:rPr>
        <w:t>▸ No es necesario aportar más de cinco (5) referencias: a partir de la quinta no se otorgan puntos adicionales.</w:t>
      </w:r>
    </w:p>
    <w:p>
      <w:pPr>
        <w:spacing w:before="200" w:after="80"/>
      </w:pPr>
      <w:r>
        <w:rPr>
          <w:rFonts w:ascii="Calibri" w:hAnsi="Calibri"/>
          <w:b/>
          <w:sz w:val="22"/>
        </w:rPr>
        <w:t>2. PORTFOLIO DE DISEÑO GRÁFICO Y EDICIÓN DE VÍDEO</w:t>
      </w:r>
    </w:p>
    <w:p>
      <w:pPr>
        <w:spacing w:before="0" w:after="120"/>
      </w:pPr>
      <w:r>
        <w:rPr>
          <w:rFonts w:ascii="Calibri" w:hAnsi="Calibri"/>
          <w:b/>
          <w:i/>
          <w:color w:val="1F5C99"/>
          <w:sz w:val="19"/>
        </w:rPr>
        <w:t>[Contribuye a: Calidad del portfolio · 30 pts]</w:t>
      </w:r>
    </w:p>
    <w:p>
      <w:pPr>
        <w:spacing w:before="40" w:after="80"/>
      </w:pPr>
      <w:r>
        <w:rPr>
          <w:rFonts w:ascii="Times New Roman" w:hAnsi="Times New Roman"/>
          <w:sz w:val="21"/>
        </w:rPr>
        <w:t>[Adjuntar o describir ejemplos representativos de trabajos previos de diseño gráfico (gráficos para redes sociales, banners, plantillas) y de edición de vídeo (vídeos cortos u otros formatos audiovisuales) equivalentes al alcance de este contrato (una media de 6 piezas/mes, con picos estacionales, sin superar 36 piezas en los 6 meses de vigencia del contrato, Parte I del Pliego). Indicar el tipo de cliente y el contexto de cada ejemplo, y la capacidad de adaptación a un manual de identidad visual ya existente (Parte II).]</w:t>
      </w:r>
    </w:p>
    <w:p>
      <w:pPr>
        <w:spacing w:before="40" w:after="80"/>
        <w:ind w:left="170"/>
      </w:pPr>
      <w:r>
        <w:rPr>
          <w:rFonts w:ascii="Times New Roman" w:hAnsi="Times New Roman"/>
          <w:i/>
          <w:color w:val="707070"/>
          <w:sz w:val="19"/>
        </w:rPr>
        <w:t>▸ Recuérdese que la demanda recurrente prevista es de una media de 6 piezas mensuales, pudiendo existir picos estacionales, sin que la dedicación total supere las 36 piezas en los 6 meses de vigencia del contrato (Parte I del Pliego); el volumen que exceda dicho límite se abona con cargo a la bolsa de horas de soporte (§7 de este documento).</w:t>
      </w:r>
    </w:p>
    <w:p>
      <w:pPr>
        <w:spacing w:before="200" w:after="80"/>
      </w:pPr>
      <w:r>
        <w:rPr>
          <w:rFonts w:ascii="Calibri" w:hAnsi="Calibri"/>
          <w:b/>
          <w:sz w:val="22"/>
        </w:rPr>
        <w:t>3. PROPUESTA DE GESTIÓN DE COMUNIDAD EN REDES SOCIALES</w:t>
      </w:r>
    </w:p>
    <w:p>
      <w:pPr>
        <w:spacing w:before="0" w:after="120"/>
      </w:pPr>
      <w:r>
        <w:rPr>
          <w:rFonts w:ascii="Calibri" w:hAnsi="Calibri"/>
          <w:b/>
          <w:i/>
          <w:color w:val="1F5C99"/>
          <w:sz w:val="19"/>
        </w:rPr>
        <w:t>[Contribuye a: Gestión de comunidad · 5 pts]</w:t>
      </w:r>
    </w:p>
    <w:p>
      <w:pPr>
        <w:spacing w:before="40" w:after="80"/>
      </w:pPr>
      <w:r>
        <w:rPr>
          <w:rFonts w:ascii="Times New Roman" w:hAnsi="Times New Roman"/>
          <w:sz w:val="21"/>
        </w:rPr>
        <w:t>[Describir el protocolo propuesto para la monitorización diaria de menciones e interacciones y la respuesta a usuarios (comentarios, mensajes directos, menciones) en los canales de la Asociación (LinkedIn, YouTube, X y Discord, Parte I del Pliego): herramientas de monitorización, criterios de moderación y de tono de respuesta conforme al manual de identidad de la Asociación (Parte II), y criterios para identificar situaciones que deban escalarse a la Gerencia de GAIA-X España en lugar de responderse directamente.]</w:t>
      </w:r>
    </w:p>
    <w:p>
      <w:pPr>
        <w:spacing w:before="40" w:after="80"/>
        <w:ind w:left="170"/>
      </w:pPr>
      <w:r>
        <w:rPr>
          <w:rFonts w:ascii="Times New Roman" w:hAnsi="Times New Roman"/>
          <w:i/>
          <w:color w:val="707070"/>
          <w:sz w:val="19"/>
        </w:rPr>
        <w:t>▸ Recuérdese que la creación y publicación de contenido editorial regular (calendario editorial, publicaciones programadas) queda fuera de alcance de este contrato (Parte I, exclusiones expresas): este apartado se refiere únicamente a monitorización y respuesta.</w:t>
      </w:r>
    </w:p>
    <w:p>
      <w:pPr>
        <w:spacing w:before="200" w:after="80"/>
      </w:pPr>
      <w:r>
        <w:rPr>
          <w:rFonts w:ascii="Calibri" w:hAnsi="Calibri"/>
          <w:b/>
          <w:sz w:val="22"/>
        </w:rPr>
        <w:t>4. PROPUESTA DE COORDINACIÓN CON EL EQUIPO INTERNO DE COMUNICACIÓN</w:t>
      </w:r>
    </w:p>
    <w:p>
      <w:pPr>
        <w:spacing w:before="0" w:after="120"/>
      </w:pPr>
      <w:r>
        <w:rPr>
          <w:rFonts w:ascii="Calibri" w:hAnsi="Calibri"/>
          <w:b/>
          <w:i/>
          <w:color w:val="1F5C99"/>
          <w:sz w:val="19"/>
        </w:rPr>
        <w:t>[Contribuye a: Coordinación · 5 pts]</w:t>
      </w:r>
    </w:p>
    <w:p>
      <w:pPr>
        <w:spacing w:before="40" w:after="80"/>
      </w:pPr>
      <w:r>
        <w:rPr>
          <w:rFonts w:ascii="Times New Roman" w:hAnsi="Times New Roman"/>
          <w:sz w:val="21"/>
        </w:rPr>
        <w:t>[Describir la propuesta de coordinación periódica con el equipo interno de comunicación de la Asociación (cadencia mínima quincenal, Parte II): canal de comunicación habitual, mecanismo de traspaso de información (contenido editorial interno vs. piezas de diseño/vídeo y gestión de comunidad de este contrato), y procedimiento para evitar duplicidades.]</w:t>
      </w:r>
    </w:p>
    <w:p>
      <w:pPr>
        <w:spacing w:before="200" w:after="80"/>
      </w:pPr>
      <w:r>
        <w:rPr>
          <w:rFonts w:ascii="Calibri" w:hAnsi="Calibri"/>
          <w:b/>
          <w:sz w:val="22"/>
        </w:rPr>
        <w:t>5. OTRAS MEJORAS PROPUESTAS</w:t>
      </w:r>
    </w:p>
    <w:p>
      <w:pPr>
        <w:spacing w:before="0" w:after="120"/>
      </w:pPr>
      <w:r>
        <w:rPr>
          <w:rFonts w:ascii="Calibri" w:hAnsi="Calibri"/>
          <w:b/>
          <w:i/>
          <w:color w:val="1F5C99"/>
          <w:sz w:val="19"/>
        </w:rPr>
        <w:t>[Contribuye a: Otras mejoras · 10 pts]</w:t>
      </w:r>
    </w:p>
    <w:p>
      <w:pPr>
        <w:spacing w:before="40" w:after="80"/>
      </w:pPr>
      <w:r>
        <w:rPr>
          <w:rFonts w:ascii="Times New Roman" w:hAnsi="Times New Roman"/>
          <w:sz w:val="21"/>
        </w:rPr>
        <w:t>[Describir libremente cualquier propuesta de valor añadido no exigida como requisito mínimo en el Pliego, sin coste adicional para GAIA-X España. Este apartado es opcional; su ausencia no penaliza el resto de la oferta. La Parte IV del Pliego sugiere, a título orientativo y no exhaustivo, categorías como: apoyo a la gestión de inscripciones y a la comunicación con participantes en eventos (formularios de registro, recordatorios, confirmaciones y atención de consultas); ampliación de la bolsa de horas de soporte sin coste adicional; herramientas de analítica o reporting más avanzadas que el informe mensual mínimo exigido; compromisos de tiempo de respuesta reducidos; accesibilidad e idiomas adicionales; y plantillas coordinadas entre sí para usos como comunicación de eventos, redes sociales, presentaciones/informes, infografías y cartelería/señalética.]</w:t>
      </w:r>
    </w:p>
    <w:p>
      <w:pPr>
        <w:spacing w:before="200" w:after="80"/>
      </w:pPr>
      <w:r>
        <w:rPr>
          <w:rFonts w:ascii="Calibri" w:hAnsi="Calibri"/>
          <w:b/>
          <w:sz w:val="22"/>
        </w:rPr>
        <w:t>6. ELABORACIÓN INICIAL DEL DOSSIER CORPORATIVO Y MANUAL DE IDENTIDAD VISUAL</w:t>
      </w:r>
    </w:p>
    <w:p>
      <w:pPr>
        <w:spacing w:before="0" w:after="120"/>
      </w:pPr>
      <w:r>
        <w:rPr>
          <w:rFonts w:ascii="Calibri" w:hAnsi="Calibri"/>
          <w:b/>
          <w:i/>
          <w:color w:val="1F5C99"/>
          <w:sz w:val="19"/>
        </w:rPr>
        <w:t>[Exigido — sin puntuación independiente; su coste está incluido en la cuota fija del servicio recurrente, Archivo C.1]</w:t>
      </w:r>
    </w:p>
    <w:p>
      <w:pPr>
        <w:spacing w:before="40" w:after="80"/>
      </w:pPr>
      <w:r>
        <w:rPr>
          <w:rFonts w:ascii="Times New Roman" w:hAnsi="Times New Roman"/>
          <w:sz w:val="21"/>
        </w:rPr>
        <w:t>[Describir la metodología propuesta para elaborar, al inicio del contrato y con carácter simultáneo al inicio del resto de actividades recurrentes (Parte I del Pliego), el dossier corporativo y el manual de identidad visual de GAIA-X España, tomando como referencia el dossier y el manual de identidad visual de Gaia-X AISBL que la Asociación facilitará al inicio del contrato. Indicar plazo de entrega propuesto y número de rondas de revisión incluidas antes de la validación final por GAIA-X España.]</w:t>
      </w:r>
    </w:p>
    <w:p>
      <w:pPr>
        <w:spacing w:before="200" w:after="80"/>
      </w:pPr>
      <w:r>
        <w:rPr>
          <w:rFonts w:ascii="Calibri" w:hAnsi="Calibri"/>
          <w:b/>
          <w:sz w:val="22"/>
        </w:rPr>
        <w:t>7. BOLSA DE HORAS DE SOPORTE (50H): METODOLOGÍA DE GESTIÓN</w:t>
      </w:r>
    </w:p>
    <w:p>
      <w:pPr>
        <w:spacing w:before="0" w:after="120"/>
      </w:pPr>
      <w:r>
        <w:rPr>
          <w:rFonts w:ascii="Calibri" w:hAnsi="Calibri"/>
          <w:b/>
          <w:i/>
          <w:color w:val="1F5C99"/>
          <w:sz w:val="19"/>
        </w:rPr>
        <w:t>[Exigido — sin puntuación independiente]</w:t>
      </w:r>
    </w:p>
    <w:p>
      <w:pPr>
        <w:spacing w:before="40" w:after="80"/>
      </w:pPr>
      <w:r>
        <w:rPr>
          <w:rFonts w:ascii="Times New Roman" w:hAnsi="Times New Roman"/>
          <w:sz w:val="21"/>
        </w:rPr>
        <w:t>[Describir el proceso propuesto para la gestión de la bolsa de 50 horas de soporte para solicitudes adicionales o puntuales (Parte I del Pliego) — entre ellas, en su caso, la actualización del documento de estrategia de comunicación de la Asociación, y el volumen de piezas de diseño o vídeo que exceda las 36 piezas del alcance recurrente (6 meses de vigencia del contrato): canal y procedimiento de solicitud, plazo de estimación/aceptación de cada petición, y forma de registro y reporte del consumo de horas (necesario para la facturación mensual variable, Parte III). El precio por hora de esta bolsa debe indicarse únicamente en la oferta económica (Archivo C.1), no en este documento.]</w:t>
      </w:r>
    </w:p>
    <w:p>
      <w:pPr>
        <w:spacing w:before="200" w:after="80"/>
      </w:pPr>
      <w:r>
        <w:rPr>
          <w:rFonts w:ascii="Calibri" w:hAnsi="Calibri"/>
          <w:b/>
          <w:sz w:val="22"/>
        </w:rPr>
        <w:t>8. CRONOGRAMA DE PUESTA EN MARCHA</w:t>
      </w:r>
    </w:p>
    <w:p>
      <w:pPr>
        <w:spacing w:before="0" w:after="120"/>
      </w:pPr>
      <w:r>
        <w:rPr>
          <w:rFonts w:ascii="Calibri" w:hAnsi="Calibri"/>
          <w:b/>
          <w:i/>
          <w:color w:val="1F5C99"/>
          <w:sz w:val="19"/>
        </w:rPr>
        <w:t>[Exigido — sin puntuación independiente]</w:t>
      </w:r>
    </w:p>
    <w:tbl>
      <w:tblPr>
        <w:tblStyle w:val="TableGrid"/>
        <w:tblW w:type="auto" w:w="0"/>
        <w:jc w:val="left"/>
        <w:tblLook w:firstColumn="1" w:firstRow="1" w:lastColumn="0" w:lastRow="0" w:noHBand="0" w:noVBand="1" w:val="04A0"/>
      </w:tblPr>
      <w:tblGrid>
        <w:gridCol w:w="4561"/>
        <w:gridCol w:w="4561"/>
      </w:tblGrid>
      <w:tr>
        <w:tc>
          <w:tcPr>
            <w:tcW w:type="dxa" w:w="6803"/>
            <w:shd w:val="clear" w:color="auto" w:fill="1F5C99"/>
            <w:vAlign w:val="center"/>
          </w:tcPr>
          <w:p>
            <w:r>
              <w:rPr>
                <w:rFonts w:ascii="Calibri" w:hAnsi="Calibri"/>
                <w:b/>
                <w:color w:val="FFFFFF"/>
                <w:sz w:val="20"/>
              </w:rPr>
              <w:t>Hito</w:t>
            </w:r>
          </w:p>
        </w:tc>
        <w:tc>
          <w:tcPr>
            <w:tcW w:type="dxa" w:w="2268"/>
            <w:shd w:val="clear" w:color="auto" w:fill="1F5C99"/>
            <w:vAlign w:val="center"/>
          </w:tcPr>
          <w:p>
            <w:r>
              <w:rPr>
                <w:rFonts w:ascii="Calibri" w:hAnsi="Calibri"/>
                <w:b/>
                <w:color w:val="FFFFFF"/>
                <w:sz w:val="20"/>
              </w:rPr>
              <w:t>Semana prevista</w:t>
            </w:r>
          </w:p>
        </w:tc>
      </w:tr>
      <w:tr>
        <w:trPr>
          <w:trHeight w:val="793" w:hRule="atLeast"/>
        </w:trPr>
        <w:tc>
          <w:tcPr>
            <w:tcW w:type="dxa" w:w="6803"/>
            <w:shd w:val="clear" w:color="auto" w:fill="F2F2F2"/>
          </w:tcPr>
          <w:p/>
        </w:tc>
        <w:tc>
          <w:tcPr>
            <w:tcW w:type="dxa" w:w="2268"/>
            <w:shd w:val="clear" w:color="auto" w:fill="F2F2F2"/>
          </w:tcPr>
          <w:p/>
        </w:tc>
      </w:tr>
      <w:tr>
        <w:trPr>
          <w:trHeight w:val="793" w:hRule="atLeast"/>
        </w:trPr>
        <w:tc>
          <w:tcPr>
            <w:tcW w:type="dxa" w:w="6803"/>
            <w:shd w:val="clear" w:color="auto" w:fill="FFFFFF"/>
          </w:tcPr>
          <w:p/>
        </w:tc>
        <w:tc>
          <w:tcPr>
            <w:tcW w:type="dxa" w:w="2268"/>
            <w:shd w:val="clear" w:color="auto" w:fill="FFFFFF"/>
          </w:tcPr>
          <w:p/>
        </w:tc>
      </w:tr>
      <w:tr>
        <w:trPr>
          <w:trHeight w:val="793" w:hRule="atLeast"/>
        </w:trPr>
        <w:tc>
          <w:tcPr>
            <w:tcW w:type="dxa" w:w="6803"/>
            <w:shd w:val="clear" w:color="auto" w:fill="F2F2F2"/>
          </w:tcPr>
          <w:p/>
        </w:tc>
        <w:tc>
          <w:tcPr>
            <w:tcW w:type="dxa" w:w="2268"/>
            <w:shd w:val="clear" w:color="auto" w:fill="F2F2F2"/>
          </w:tcPr>
          <w:p/>
        </w:tc>
      </w:tr>
      <w:tr>
        <w:trPr>
          <w:trHeight w:val="793" w:hRule="atLeast"/>
        </w:trPr>
        <w:tc>
          <w:tcPr>
            <w:tcW w:type="dxa" w:w="6803"/>
            <w:shd w:val="clear" w:color="auto" w:fill="FFFFFF"/>
          </w:tcPr>
          <w:p/>
        </w:tc>
        <w:tc>
          <w:tcPr>
            <w:tcW w:type="dxa" w:w="2268"/>
            <w:shd w:val="clear" w:color="auto" w:fill="FFFFFF"/>
          </w:tcPr>
          <w:p/>
        </w:tc>
      </w:tr>
      <w:tr>
        <w:trPr>
          <w:trHeight w:val="793" w:hRule="atLeast"/>
        </w:trPr>
        <w:tc>
          <w:tcPr>
            <w:tcW w:type="dxa" w:w="6803"/>
            <w:shd w:val="clear" w:color="auto" w:fill="F2F2F2"/>
          </w:tcPr>
          <w:p/>
        </w:tc>
        <w:tc>
          <w:tcPr>
            <w:tcW w:type="dxa" w:w="2268"/>
            <w:shd w:val="clear" w:color="auto" w:fill="F2F2F2"/>
          </w:tcPr>
          <w:p/>
        </w:tc>
      </w:tr>
    </w:tbl>
    <w:p/>
    <w:p>
      <w:pPr>
        <w:spacing w:before="40" w:after="80"/>
        <w:ind w:left="170"/>
      </w:pPr>
      <w:r>
        <w:rPr>
          <w:rFonts w:ascii="Times New Roman" w:hAnsi="Times New Roman"/>
          <w:i/>
          <w:color w:val="707070"/>
          <w:sz w:val="19"/>
        </w:rPr>
        <w:t>▸ Como mínimo debe incluirse: reunión de arranque y traspaso del manual de identidad visual vigente; elaboración y validación del dossier corporativo y del nuevo manual de identidad visual (§6); primera entrega de piezas de diseño y vídeo; y puesta en marcha de la gestión de comunidad. El contrato tiene una duración de 6 meses, prorrogable.</w:t>
      </w:r>
    </w:p>
    <w:p>
      <w:pPr>
        <w:spacing w:before="200" w:after="80"/>
      </w:pPr>
      <w:r>
        <w:rPr>
          <w:rFonts w:ascii="Calibri" w:hAnsi="Calibri"/>
          <w:b/>
          <w:sz w:val="22"/>
        </w:rPr>
        <w:t>9. COMPROMISOS ADICIONALES (GUÍA DE MARCA Y PROTECCIÓN DE DATOS)</w:t>
      </w:r>
    </w:p>
    <w:p>
      <w:pPr>
        <w:spacing w:before="0" w:after="120"/>
      </w:pPr>
      <w:r>
        <w:rPr>
          <w:rFonts w:ascii="Calibri" w:hAnsi="Calibri"/>
          <w:b/>
          <w:i/>
          <w:color w:val="1F5C99"/>
          <w:sz w:val="19"/>
        </w:rPr>
        <w:t>[Exigido — sin puntuación independiente]</w:t>
      </w:r>
    </w:p>
    <w:p>
      <w:pPr>
        <w:spacing w:before="40" w:after="80"/>
      </w:pPr>
      <w:r>
        <w:rPr>
          <w:rFonts w:ascii="Times New Roman" w:hAnsi="Times New Roman"/>
          <w:sz w:val="21"/>
        </w:rPr>
        <w:t>☐ El licitador declara conocer y aceptar que todas las piezas de diseño y vídeo entregadas deberán ajustarse al manual de identidad visual vigente en cada momento —el que la Asociación pondrá a su disposición al inicio del contrato, y el resultante de la tarea descrita en el §6, a partir de su validación— (Parte II del Pliego).</w:t>
      </w:r>
    </w:p>
    <w:p>
      <w:pPr>
        <w:spacing w:before="40" w:after="80"/>
      </w:pPr>
      <w:r>
        <w:rPr>
          <w:rFonts w:ascii="Times New Roman" w:hAnsi="Times New Roman"/>
          <w:sz w:val="21"/>
        </w:rPr>
        <w:t>☐ El licitador declara conocer y aceptar el régimen de protección de datos aplicable a las funciones de gestión de comunidad objeto de este contrato (RGPD/LOPDGDD), con el alcance de responsabilidad limitado a su propia actividad descrito en la Parte II del Pliego.</w:t>
      </w:r>
    </w:p>
    <w:p>
      <w:pPr>
        <w:spacing w:before="200" w:after="80"/>
      </w:pPr>
      <w:r>
        <w:rPr>
          <w:rFonts w:ascii="Calibri" w:hAnsi="Calibri"/>
          <w:b/>
          <w:sz w:val="22"/>
        </w:rPr>
        <w:t>10. LISTADO DE DOCUMENTOS ADJUNTOS AL ARCHIVO B</w:t>
      </w:r>
    </w:p>
    <w:p>
      <w:pPr>
        <w:spacing w:before="40" w:after="80"/>
      </w:pPr>
      <w:r>
        <w:rPr>
          <w:rFonts w:ascii="Times New Roman" w:hAnsi="Times New Roman"/>
          <w:sz w:val="21"/>
        </w:rPr>
        <w:t>☐ B.1 — Propuesta Técnica (el presente documento, cumplimentado)</w:t>
      </w:r>
    </w:p>
    <w:p>
      <w:pPr>
        <w:spacing w:before="40" w:after="80"/>
      </w:pPr>
      <w:r>
        <w:rPr>
          <w:rFonts w:ascii="Times New Roman" w:hAnsi="Times New Roman"/>
          <w:sz w:val="21"/>
        </w:rPr>
        <w:t>☐ Portfolio de diseño gráfico y edición de vídeo (referenciado en el apartado 2, adjunto o enlazado)</w:t>
      </w:r>
    </w:p>
    <w:p>
      <w:pPr>
        <w:spacing w:before="40" w:after="80"/>
      </w:pPr>
      <w:r>
        <w:rPr>
          <w:rFonts w:ascii="Times New Roman" w:hAnsi="Times New Roman"/>
          <w:sz w:val="21"/>
        </w:rPr>
        <w:t>☐ B.4 — Documento de Confidencialidad (opcional)</w:t>
      </w:r>
    </w:p>
    <w:p/>
    <w:p>
      <w:pPr>
        <w:spacing w:before="200" w:after="80"/>
      </w:pPr>
      <w:r>
        <w:rPr>
          <w:rFonts w:ascii="Calibri" w:hAnsi="Calibri"/>
          <w:b/>
          <w:sz w:val="22"/>
        </w:rPr>
        <w:t>FIRMA DEL REPRESENTANTE LEGAL</w:t>
      </w:r>
    </w:p>
    <w:p>
      <w:pPr>
        <w:spacing w:before="40" w:after="60"/>
      </w:pPr>
      <w:r>
        <w:rPr>
          <w:rFonts w:ascii="Times New Roman" w:hAnsi="Times New Roman"/>
          <w:b/>
          <w:sz w:val="21"/>
        </w:rPr>
        <w:t xml:space="preserve">Nombre y apellidos: </w:t>
      </w:r>
      <w:r>
        <w:rPr>
          <w:rFonts w:ascii="Times New Roman" w:hAnsi="Times New Roman"/>
          <w:sz w:val="21"/>
        </w:rPr>
        <w:t>[NOMBRE Y APELLIDOS DEL FIRMANTE]</w:t>
      </w:r>
    </w:p>
    <w:p>
      <w:pPr>
        <w:spacing w:before="40" w:after="60"/>
      </w:pPr>
      <w:r>
        <w:rPr>
          <w:rFonts w:ascii="Times New Roman" w:hAnsi="Times New Roman"/>
          <w:b/>
          <w:sz w:val="21"/>
        </w:rPr>
        <w:t xml:space="preserve">Cargo: </w:t>
      </w:r>
      <w:r>
        <w:rPr>
          <w:rFonts w:ascii="Times New Roman" w:hAnsi="Times New Roman"/>
          <w:sz w:val="21"/>
        </w:rPr>
        <w:t>[CARGO EN LA EMPRESA]</w:t>
      </w:r>
    </w:p>
    <w:p>
      <w:pPr>
        <w:spacing w:before="40" w:after="60"/>
      </w:pPr>
      <w:r>
        <w:rPr>
          <w:rFonts w:ascii="Times New Roman" w:hAnsi="Times New Roman"/>
          <w:b/>
          <w:sz w:val="21"/>
        </w:rPr>
        <w:t xml:space="preserve">En nombre de: </w:t>
      </w:r>
      <w:r>
        <w:rPr>
          <w:rFonts w:ascii="Times New Roman" w:hAnsi="Times New Roman"/>
          <w:sz w:val="21"/>
        </w:rPr>
        <w:t>[RAZÓN SOCIAL DE LA EMPRESA]</w:t>
      </w:r>
    </w:p>
    <w:p>
      <w:pPr>
        <w:spacing w:before="40" w:after="60"/>
      </w:pPr>
      <w:r>
        <w:rPr>
          <w:rFonts w:ascii="Times New Roman" w:hAnsi="Times New Roman"/>
          <w:b/>
          <w:sz w:val="21"/>
        </w:rPr>
        <w:t xml:space="preserve">CIF de la empresa: </w:t>
      </w:r>
      <w:r>
        <w:rPr>
          <w:rFonts w:ascii="Times New Roman" w:hAnsi="Times New Roman"/>
          <w:sz w:val="21"/>
        </w:rPr>
        <w:t>[CIF]</w:t>
      </w:r>
    </w:p>
    <w:p>
      <w:pPr>
        <w:spacing w:before="40" w:after="60"/>
      </w:pPr>
      <w:r>
        <w:rPr>
          <w:rFonts w:ascii="Times New Roman" w:hAnsi="Times New Roman"/>
          <w:b/>
          <w:sz w:val="21"/>
        </w:rPr>
        <w:t xml:space="preserve">Lugar y fecha: </w:t>
      </w:r>
      <w:r>
        <w:rPr>
          <w:rFonts w:ascii="Times New Roman" w:hAnsi="Times New Roman"/>
          <w:sz w:val="21"/>
        </w:rPr>
        <w:t>[CIUDAD], a [DÍA] de [MES] de 2026</w:t>
      </w:r>
    </w:p>
    <w:p/>
    <w:p>
      <w:pPr>
        <w:spacing w:before="40" w:after="80"/>
      </w:pPr>
      <w:r>
        <w:rPr>
          <w:rFonts w:ascii="Times New Roman" w:hAnsi="Times New Roman"/>
          <w:sz w:val="21"/>
        </w:rPr>
        <w:t>Firma y sello de la entidad:</w:t>
      </w:r>
    </w:p>
    <w:p/>
    <w:p/>
    <w:p>
      <w:pPr>
        <w:spacing w:before="40" w:after="80"/>
      </w:pPr>
      <w:r>
        <w:rPr>
          <w:rFonts w:ascii="Times New Roman" w:hAnsi="Times New Roman"/>
          <w:sz w:val="21"/>
        </w:rPr>
        <w:t>____________________________________________</w:t>
      </w:r>
    </w:p>
    <w:p>
      <w:pPr>
        <w:pBdr>
          <w:bottom w:val="single" w:sz="6" w:space="1" w:color="CCCCCC"/>
        </w:pBdr>
      </w:pPr>
    </w:p>
    <w:p>
      <w:pPr>
        <w:spacing w:before="40" w:after="80"/>
        <w:ind w:left="170"/>
      </w:pPr>
      <w:r>
        <w:rPr>
          <w:rFonts w:ascii="Times New Roman" w:hAnsi="Times New Roman"/>
          <w:i/>
          <w:color w:val="707070"/>
          <w:sz w:val="19"/>
        </w:rPr>
        <w:t>▸ Expediente: GAIX-ESP-2026-006 · Gaia-X España · Plazo de presentación: 21 de septiembre de 2026 (14 días naturales desde la publicación prevista el 7 de septiembre de 2026)</w:t>
      </w:r>
    </w:p>
    <w:sectPr w:rsidR="00FC693F" w:rsidRPr="0006063C" w:rsidSect="00034616">
      <w:pgSz w:w="12240" w:h="15840"/>
      <w:pgMar w:top="1417" w:right="141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