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PROPUESTA TÉCNICA Y ACREDITACIÓN DE SOLVENCIA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B – Documentación Técnica (B.1)</w:t>
      </w:r>
    </w:p>
    <w:p>
      <w:pPr>
        <w:pBdr>
          <w:bottom w:val="single" w:sz="6" w:space="1" w:color="2E74B5"/>
        </w:pBdr>
      </w:pPr>
    </w:p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Valor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Referencia del expediente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Entidad convocante</w:t>
            </w:r>
          </w:p>
        </w:tc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Objeto de la licitación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Estudio sobre estrategia para entidades públicas para la economía del dato</w:t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Presupuesto máximo (IVA excl.)</w:t>
            </w:r>
          </w:p>
        </w:tc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53.720,00 € (IVA excluido)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Plazo de presentación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24 de agosto de 2026</w:t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Canal de envío</w:t>
            </w:r>
          </w:p>
        </w:tc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susana.estables@gaiax-spain.com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Asunto del correo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Oferta – Estudio estrategia entidades públicas economía del dato – [Nombre del Licitador]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>El presente documento constituye la plantilla del Archivo B.1 (Propuesta Técnica). El licitador deberá cumplimentar todas las secciones marcadas y eliminar las instrucciones en cursiva antes de presentar su oferta. Los Archivos A, B y C deben enviarse como documentos independientes, sin mezclar contenido entre ellos.</w:t>
      </w:r>
    </w:p>
    <w:p>
      <w:pPr>
        <w:spacing w:before="40" w:after="80"/>
      </w:pPr>
      <w:r>
        <w:rPr>
          <w:rFonts w:ascii="Times New Roman" w:hAnsi="Times New Roman"/>
          <w:b/>
          <w:color w:val="C55A11"/>
          <w:sz w:val="20"/>
        </w:rPr>
        <w:t>⚠  REQUISITOS MÍNIMOS DE EXCLUSIÓN: (1) Solvencia técnica del oferente: al menos 2 proyectos de consultoría, estudio o asistencia técnica en los últimos 4 años en economía del dato, espacios de datos o datos abiertos/gobierno del dato — al menos uno para o sobre el sector público y al menos uno con experiencia en transformación digital, gobierno del dato o espacios de datos para entidades locales o supramunicipales. (2) Equipo mínimo: los 4 perfiles y años de experiencia exigidos en el §7 del Pliego (ver plantillas B2_DescripcionEquipo y B3_CurriculumParticipantes). El incumplimiento de cualquiera de estos requisitos supone la exclusión automática de la licitación.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ÍNDICE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56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§</w:t>
            </w:r>
          </w:p>
        </w:tc>
        <w:tc>
          <w:tcPr>
            <w:tcW w:type="dxa" w:w="39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Apartado</w:t>
            </w:r>
          </w:p>
        </w:tc>
        <w:tc>
          <w:tcPr>
            <w:tcW w:type="dxa" w:w="453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Criterio de valoración asociado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0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Datos del licitador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18"/>
              </w:rPr>
              <w:t>Comprensión del contexto y enfoque general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18"/>
              </w:rPr>
              <w:t>Calidad del enfoque metodológico · parte de 30 pts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Marco analítico de casos y casos candidatos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Calidad del enfoque metodológico (30) + Pertinencia y viabilidad de casos (5)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18"/>
              </w:rPr>
              <w:t>Enfoque metodológico (T3, T4, T5) y escalabilidad municipal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18"/>
              </w:rPr>
              <w:t>Calidad del enfoque metodológico (30, en T3+escalabilidad) + Herramienta de autodiagnóstico (5) + Kit práctico para municipios (5)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Plan de trabajo, cronograma y dedicaciones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— (contenido exigido por el Pliego, sin puntuación independiente)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18"/>
              </w:rPr>
              <w:t>Equipo propuesto y acreditación de solvencia (§7)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18"/>
              </w:rPr>
              <w:t>Experiencia y adecuación del equipo (5) + Experiencia admin. local (5)</w:t>
            </w:r>
          </w:p>
        </w:tc>
      </w:tr>
      <w:tr>
        <w:tc>
          <w:tcPr>
            <w:tcW w:type="dxa" w:w="567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Mejoras ofertadas</w:t>
            </w:r>
          </w:p>
        </w:tc>
        <w:tc>
          <w:tcPr>
            <w:tcW w:type="dxa" w:w="4535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Mejoras con valor añadido · 5 pts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3969"/>
          </w:tcPr>
          <w:p>
            <w:r>
              <w:rPr>
                <w:rFonts w:ascii="Times New Roman" w:hAnsi="Times New Roman"/>
                <w:sz w:val="18"/>
              </w:rPr>
              <w:t>Listado de documentos adjuntos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0. DATOS DEL LICITADOR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Cumplimente los datos de la entidad licitadora. Los CVs del equipo deben adjuntarse usando la plantilla B3_CurriculumParticipantes y la descripción del equipo usando B2_DescripcionEquipo.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340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Campo</w:t>
            </w:r>
          </w:p>
        </w:tc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Valor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Razón social / Nombre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[RAZÓN SOCIAL]</w:t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CIF / DNI-NIE</w:t>
            </w:r>
          </w:p>
        </w:tc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[CIF]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Domicilio social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[DIRECCIÓN COMPLETA]</w:t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Representante legal</w:t>
            </w:r>
          </w:p>
        </w:tc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[NOMBRE Y APELLIDOS]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Cargo del representante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[CARGO]</w:t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Persona de contacto para dudas</w:t>
            </w:r>
          </w:p>
        </w:tc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[NOMBRE Y APELLIDOS]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Correo electrónico de contacto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[EMAIL]</w:t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/>
                <w:sz w:val="20"/>
              </w:rPr>
              <w:t>Teléfono de contacto</w:t>
            </w:r>
          </w:p>
        </w:tc>
        <w:tc>
          <w:tcPr>
            <w:tcW w:type="dxa" w:w="5669"/>
          </w:tcPr>
          <w:p>
            <w:r>
              <w:rPr>
                <w:rFonts w:ascii="Times New Roman" w:hAnsi="Times New Roman"/>
                <w:sz w:val="20"/>
              </w:rPr>
              <w:t>[TELÉFONO]</w:t>
            </w:r>
          </w:p>
        </w:tc>
      </w:tr>
      <w:tr>
        <w:tc>
          <w:tcPr>
            <w:tcW w:type="dxa" w:w="3402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¿Es entidad vinculada a Gaia-X España?</w:t>
            </w:r>
          </w:p>
        </w:tc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20"/>
              </w:rPr>
              <w:t>[ ] Sí — adjuntar C2_Desglose_Costes_Entidades_Vinculadas   [ ] No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1. COMPRENSIÓN DEL CONTEXTO Y ENFOQUE GENERAL</w:t>
      </w:r>
    </w:p>
    <w:p>
      <w:pPr>
        <w:spacing w:before="0" w:after="120"/>
      </w:pPr>
      <w:r>
        <w:rPr>
          <w:rFonts w:ascii="Calibri" w:hAnsi="Calibri"/>
          <w:b/>
          <w:i/>
          <w:color w:val="1F5C99"/>
          <w:sz w:val="19"/>
        </w:rPr>
        <w:t>[Contribuye a: Calidad del enfoque metodológico · 30 pts]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Describa su comprensión del contexto (diversidad institucional, brecha de capacidad entre AGE/CCAA y entidades locales, roles de la entidad pública en la economía del dato) y el enfoque general de su propuesta. Extensión recomendada: 1-2 páginas.</w:t>
      </w:r>
    </w:p>
    <w:p/>
    <w:p/>
    <w:p/>
    <w:p/>
    <w:p>
      <w:pPr>
        <w:spacing w:before="200" w:after="80"/>
      </w:pPr>
      <w:r>
        <w:rPr>
          <w:rFonts w:ascii="Calibri" w:hAnsi="Calibri"/>
          <w:b/>
          <w:sz w:val="22"/>
        </w:rPr>
        <w:t>2. MARCO ANALÍTICO DE CASOS Y CASOS CANDIDATOS</w:t>
      </w:r>
    </w:p>
    <w:p>
      <w:pPr>
        <w:spacing w:before="0" w:after="120"/>
      </w:pPr>
      <w:r>
        <w:rPr>
          <w:rFonts w:ascii="Calibri" w:hAnsi="Calibri"/>
          <w:b/>
          <w:i/>
          <w:color w:val="1F5C99"/>
          <w:sz w:val="19"/>
        </w:rPr>
        <w:t>[Contribuye a: Calidad del enfoque metodológico · 30 pts  +  Pertinencia y viabilidad de los casos candidatos y del plan de entrevistas · 5 pts]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2.1 Marco analítico común propuesto para T2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Proponga el marco analítico común que aplicará a cada caso de éxito, cubriendo como mínimo: contexto y objetivos; modelo de gobernanza; modelo económico y de sostenibilidad; marco jurídico aplicado (contratación pública, cláusulas de acceso y entrega de datos, portabilidad, reversibilidad, propiedad intelectual, dependencia tecnológica); arquitectura técnica y estándares; capacidades y talento; resultados e impacto medible; decisiones jurídicas habilitantes, riesgos y soluciones aplicadas; barreras encontradas; y factores críticos de éxito.</w:t>
      </w:r>
    </w:p>
    <w:p/>
    <w:p/>
    <w:p/>
    <w:p/>
    <w:p>
      <w:pPr>
        <w:spacing w:before="200" w:after="80"/>
      </w:pPr>
      <w:r>
        <w:rPr>
          <w:rFonts w:ascii="Calibri" w:hAnsi="Calibri"/>
          <w:b/>
          <w:sz w:val="22"/>
        </w:rPr>
        <w:t>2.2 Casos candidatos propuestos (entre 6 y 8 casos)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Proponga entre 6 y 8 casos de éxito (al menos 6 españoles, hasta 2 de otros Estados miembros de la UE). La selección debe garantizar diversidad de roles (§3.1 del Pliego) y, como mínimo, 3 casos de ámbito local/supramunicipal: un municipio pequeño o mediano, una ciudad de mayor dimensión y una diputación/cabildo/consejo insular.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</w:tblGrid>
      <w:tr>
        <w:tc>
          <w:tcPr>
            <w:tcW w:type="dxa" w:w="454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Nº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Caso propuesto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Entidad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Rol(es) representado(s) (§3.1)</w:t>
            </w:r>
          </w:p>
        </w:tc>
        <w:tc>
          <w:tcPr>
            <w:tcW w:type="dxa" w:w="153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Ámbito</w:t>
              <w:br/>
              <w:t>(local/supramunicipal/CCAA/AGE/UE)</w:t>
            </w:r>
          </w:p>
        </w:tc>
        <w:tc>
          <w:tcPr>
            <w:tcW w:type="dxa" w:w="1984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Justificación de la selección</w:t>
            </w:r>
          </w:p>
        </w:tc>
      </w:tr>
      <w:tr>
        <w:tc>
          <w:tcPr>
            <w:tcW w:type="dxa" w:w="45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53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53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53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53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5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53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rFonts w:ascii="Times New Roman" w:hAnsi="Times New Roman"/>
                <w:sz w:val="18"/>
              </w:rPr>
              <w:t>6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53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7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53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rFonts w:ascii="Times New Roman" w:hAnsi="Times New Roman"/>
                <w:sz w:val="18"/>
              </w:rPr>
              <w:t>8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53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2.3 Plan de entrevistas y accesibilidad a los responsables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Justifique la accesibilidad real a los responsables de cada caso (mínimo una entrevista por caso), la transferibilidad del modelo y el equilibrio territorial del conjunto propuesto. Indique, cuando sea posible, si se contrastarán al menos dos perspectivas por caso (responsable público y socio tecnológico/entidad usuaria).</w:t>
      </w:r>
    </w:p>
    <w:p/>
    <w:p/>
    <w:p/>
    <w:p/>
    <w:p>
      <w:pPr>
        <w:spacing w:before="200" w:after="80"/>
      </w:pPr>
      <w:r>
        <w:rPr>
          <w:rFonts w:ascii="Calibri" w:hAnsi="Calibri"/>
          <w:b/>
          <w:sz w:val="22"/>
        </w:rPr>
        <w:t>3. ENFOQUE METODOLÓGICO (T3, T4, T5) Y ESCALABILIDAD MUNICIPAL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Los cuatro apartados siguientes se puntúan por separado: 3.1 y 3.4 contribuyen al Criterio 1 (Calidad del enfoque metodológico); 3.2 y 3.3 son ahora criterios propios (Criterios 5 y 6), independientes de la Calidad del enfoque metodológico.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3.1 Metodología para la estrategia de economía del dato (T3)</w:t>
      </w:r>
    </w:p>
    <w:p>
      <w:pPr>
        <w:spacing w:before="0" w:after="120"/>
      </w:pPr>
      <w:r>
        <w:rPr>
          <w:rFonts w:ascii="Calibri" w:hAnsi="Calibri"/>
          <w:b/>
          <w:i/>
          <w:color w:val="1F5C99"/>
          <w:sz w:val="19"/>
        </w:rPr>
        <w:t>[Contribuye a: Calidad del enfoque metodológico · 30 pts]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Describa el enfoque para las 5 fases de T3: (1) diagnóstico de capacidades (integrado con la herramienta de T4); (2) priorización de casos de uso y roles; (3) definición de la estrategia (objetivos, gobernanza, modelo organizativo, marco jurídico, recursos y alianzas); (4) hoja de ruta por oleadas; (5) sostenibilidad de la estrategia.</w:t>
      </w:r>
    </w:p>
    <w:p/>
    <w:p/>
    <w:p/>
    <w:p/>
    <w:p>
      <w:pPr>
        <w:spacing w:before="200" w:after="80"/>
      </w:pPr>
      <w:r>
        <w:rPr>
          <w:rFonts w:ascii="Calibri" w:hAnsi="Calibri"/>
          <w:b/>
          <w:sz w:val="22"/>
        </w:rPr>
        <w:t>3.2 Herramienta de autodiagnóstico (T4)</w:t>
      </w:r>
    </w:p>
    <w:p>
      <w:pPr>
        <w:spacing w:before="0" w:after="120"/>
      </w:pPr>
      <w:r>
        <w:rPr>
          <w:rFonts w:ascii="Calibri" w:hAnsi="Calibri"/>
          <w:b/>
          <w:i/>
          <w:color w:val="1F5C99"/>
          <w:sz w:val="19"/>
        </w:rPr>
        <w:t>[Contribuye a: Herramienta de autodiagnóstico: arquitectura y detalle de la misma · 5 pts]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Describa el diseño y la arquitectura de la herramienta: dimensiones cubiertas, lenguaje no técnico, ayuda contextual, resultados automáticos con recomendaciones priorizadas, y salida agregable/anonimizable para Gaia-X España.</w:t>
      </w:r>
    </w:p>
    <w:p/>
    <w:p/>
    <w:p/>
    <w:p>
      <w:pPr>
        <w:spacing w:before="200" w:after="80"/>
      </w:pPr>
      <w:r>
        <w:rPr>
          <w:rFonts w:ascii="Calibri" w:hAnsi="Calibri"/>
          <w:b/>
          <w:sz w:val="22"/>
        </w:rPr>
        <w:t>3.3 Kit práctico para municipios (T5)</w:t>
      </w:r>
    </w:p>
    <w:p>
      <w:pPr>
        <w:spacing w:before="0" w:after="120"/>
      </w:pPr>
      <w:r>
        <w:rPr>
          <w:rFonts w:ascii="Calibri" w:hAnsi="Calibri"/>
          <w:b/>
          <w:i/>
          <w:color w:val="1F5C99"/>
          <w:sz w:val="19"/>
        </w:rPr>
        <w:t>[Contribuye a: Kit práctico para municipios: arquitectura y detalle del mismo · 5 pts]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Describa el diseño y la arquitectura del kit municipal como producto independiente (guía simplificada, plantillas, checklists, hoja de ruta de 100 días, catálogo de casos de uso municipales, modelos y cláusulas tipo, itinerario de 'capacidad cero', guía ejecutiva).</w:t>
      </w:r>
    </w:p>
    <w:p/>
    <w:p/>
    <w:p/>
    <w:p>
      <w:pPr>
        <w:spacing w:before="200" w:after="80"/>
      </w:pPr>
      <w:r>
        <w:rPr>
          <w:rFonts w:ascii="Calibri" w:hAnsi="Calibri"/>
          <w:b/>
          <w:sz w:val="22"/>
        </w:rPr>
        <w:t>3.4 Escalabilidad por estrato institucional</w:t>
      </w:r>
    </w:p>
    <w:p>
      <w:pPr>
        <w:spacing w:before="0" w:after="120"/>
      </w:pPr>
      <w:r>
        <w:rPr>
          <w:rFonts w:ascii="Calibri" w:hAnsi="Calibri"/>
          <w:b/>
          <w:i/>
          <w:color w:val="1F5C99"/>
          <w:sz w:val="19"/>
        </w:rPr>
        <w:t>[Contribuye a: Calidad del enfoque metodológico · 30 pts]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Explique cómo la metodología combina el estrato institucional con el nivel de madurez de partida, con itinerarios diferenciados como mínimo para: municipios de menos de 20.000 habitantes, municipios medianos y grandes, diputaciones/entidades supramunicipales, comunidades autónomas y AGE.</w:t>
      </w:r>
    </w:p>
    <w:p/>
    <w:p/>
    <w:p/>
    <w:p>
      <w:pPr>
        <w:spacing w:before="200" w:after="80"/>
      </w:pPr>
      <w:r>
        <w:rPr>
          <w:rFonts w:ascii="Calibri" w:hAnsi="Calibri"/>
          <w:b/>
          <w:sz w:val="22"/>
        </w:rPr>
        <w:t>4. PLAN DE TRABAJO, CRONOGRAMA Y DEDICACIONES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Este apartado sigue siendo obligatorio conforme al Pliego, aunque ya no constituye un criterio de valoración puntuado de forma independiente.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Detalle el cronograma de ejecución de 12 semanas (firma prevista el 31 de agosto de 2026; fin de contrato el 20 de noviembre de 2026). Marque con una 'X' las semanas en que se desarrolla cada tarea. Los hitos fijos del Pliego (E1-E5, marcados 'F') están prellenados en su semana correspondiente; añada filas propias si lo considera necesario y detalle las dedicaciones por perfil.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  <w:gridCol w:w="702"/>
      </w:tblGrid>
      <w:tr>
        <w:tc>
          <w:tcPr>
            <w:tcW w:type="dxa" w:w="238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Actividad / Entregable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S1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S2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S3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S4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S5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S6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S7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S8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S9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S10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S11</w:t>
            </w:r>
          </w:p>
        </w:tc>
        <w:tc>
          <w:tcPr>
            <w:tcW w:type="dxa" w:w="482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6"/>
              </w:rPr>
              <w:t>S12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T1 — Mapeo e inventario de iniciativas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Times New Roman" w:hAnsi="Times New Roman"/>
                <w:sz w:val="17"/>
              </w:rPr>
              <w:t>T2 — Análisis en profundidad de casos de éxito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T3 — Metodología de estrategia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</w:tr>
      <w:tr>
        <w:tc>
          <w:tcPr>
            <w:tcW w:type="dxa" w:w="2381"/>
          </w:tcPr>
          <w:p>
            <w:r>
              <w:rPr>
                <w:rFonts w:ascii="Times New Roman" w:hAnsi="Times New Roman"/>
                <w:sz w:val="17"/>
              </w:rPr>
              <w:t>T4 — Herramienta de autodiagnóstico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T5 — Kit práctico para municipios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</w:tr>
      <w:tr>
        <w:tc>
          <w:tcPr>
            <w:tcW w:type="dxa" w:w="2381"/>
          </w:tcPr>
          <w:p>
            <w:r>
              <w:rPr>
                <w:rFonts w:ascii="Times New Roman" w:hAnsi="Times New Roman"/>
                <w:sz w:val="17"/>
              </w:rPr>
              <w:t>T6 — Validación mediante talleres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X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E1 — Plan de trabajo y marco analítico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F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Times New Roman" w:hAnsi="Times New Roman"/>
                <w:sz w:val="17"/>
              </w:rPr>
              <w:t>E2 — Inventario de iniciativas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F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E3 — Informe de casos de éxito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F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Times New Roman" w:hAnsi="Times New Roman"/>
                <w:sz w:val="17"/>
              </w:rPr>
              <w:t>E4a — Metodología + autodiagnóstico (borrador)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F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E4b — Kit municipal (borrador)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  <w:t>F</w:t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  <w:shd w:val="clear" w:color="auto" w:fill="F2F2F2"/>
          </w:tcPr>
          <w:p>
            <w:r>
              <w:rPr>
                <w:rFonts w:ascii="Times New Roman" w:hAnsi="Times New Roman"/>
                <w:sz w:val="17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rFonts w:ascii="Times New Roman" w:hAnsi="Times New Roman"/>
                <w:sz w:val="17"/>
              </w:rPr>
              <w:t>E5 — Entrega final validada</w:t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</w:r>
          </w:p>
        </w:tc>
        <w:tc>
          <w:tcPr>
            <w:tcW w:type="dxa" w:w="482"/>
          </w:tcPr>
          <w:p>
            <w:r>
              <w:rPr>
                <w:rFonts w:ascii="Times New Roman" w:hAnsi="Times New Roman"/>
                <w:sz w:val="17"/>
              </w:rPr>
              <w:t>F</w:t>
            </w:r>
          </w:p>
        </w:tc>
      </w:tr>
    </w:tbl>
    <w:p/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'X' = semana de ejecución de la tarea. 'F' = hito de entrega fijo según el Pliego (no modificable). Añada filas adicionales para actividades propias del licitador.</w:t>
      </w:r>
    </w:p>
    <w:p/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Dedicaciones por perfil (a completar):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83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Perfil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Horas totales</w:t>
            </w:r>
          </w:p>
        </w:tc>
        <w:tc>
          <w:tcPr>
            <w:tcW w:type="dxa" w:w="226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% dedicación media</w:t>
            </w:r>
          </w:p>
        </w:tc>
        <w:tc>
          <w:tcPr>
            <w:tcW w:type="dxa" w:w="2268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Semanas de mayor carga</w:t>
            </w:r>
          </w:p>
        </w:tc>
      </w:tr>
      <w:tr>
        <w:trPr>
          <w:trHeight w:val="567" w:hRule="atLeast"/>
        </w:trPr>
        <w:tc>
          <w:tcPr>
            <w:tcW w:type="dxa" w:w="2835"/>
            <w:shd w:val="clear" w:color="auto" w:fill="F2F2F2"/>
          </w:tcPr>
          <w:p/>
        </w:tc>
        <w:tc>
          <w:tcPr>
            <w:tcW w:type="dxa" w:w="1701"/>
            <w:shd w:val="clear" w:color="auto" w:fill="F2F2F2"/>
          </w:tcPr>
          <w:p/>
        </w:tc>
        <w:tc>
          <w:tcPr>
            <w:tcW w:type="dxa" w:w="2268"/>
            <w:shd w:val="clear" w:color="auto" w:fill="F2F2F2"/>
          </w:tcPr>
          <w:p/>
        </w:tc>
        <w:tc>
          <w:tcPr>
            <w:tcW w:type="dxa" w:w="2268"/>
            <w:shd w:val="clear" w:color="auto" w:fill="F2F2F2"/>
          </w:tcPr>
          <w:p/>
        </w:tc>
      </w:tr>
      <w:tr>
        <w:trPr>
          <w:trHeight w:val="567" w:hRule="atLeast"/>
        </w:trPr>
        <w:tc>
          <w:tcPr>
            <w:tcW w:type="dxa" w:w="2835"/>
            <w:shd w:val="clear" w:color="auto" w:fill="FFFFFF"/>
          </w:tcPr>
          <w:p/>
        </w:tc>
        <w:tc>
          <w:tcPr>
            <w:tcW w:type="dxa" w:w="1701"/>
            <w:shd w:val="clear" w:color="auto" w:fill="FFFFFF"/>
          </w:tcPr>
          <w:p/>
        </w:tc>
        <w:tc>
          <w:tcPr>
            <w:tcW w:type="dxa" w:w="2268"/>
            <w:shd w:val="clear" w:color="auto" w:fill="FFFFFF"/>
          </w:tcPr>
          <w:p/>
        </w:tc>
        <w:tc>
          <w:tcPr>
            <w:tcW w:type="dxa" w:w="2268"/>
            <w:shd w:val="clear" w:color="auto" w:fill="FFFFFF"/>
          </w:tcPr>
          <w:p/>
        </w:tc>
      </w:tr>
      <w:tr>
        <w:trPr>
          <w:trHeight w:val="567" w:hRule="atLeast"/>
        </w:trPr>
        <w:tc>
          <w:tcPr>
            <w:tcW w:type="dxa" w:w="2835"/>
            <w:shd w:val="clear" w:color="auto" w:fill="F2F2F2"/>
          </w:tcPr>
          <w:p/>
        </w:tc>
        <w:tc>
          <w:tcPr>
            <w:tcW w:type="dxa" w:w="1701"/>
            <w:shd w:val="clear" w:color="auto" w:fill="F2F2F2"/>
          </w:tcPr>
          <w:p/>
        </w:tc>
        <w:tc>
          <w:tcPr>
            <w:tcW w:type="dxa" w:w="2268"/>
            <w:shd w:val="clear" w:color="auto" w:fill="F2F2F2"/>
          </w:tcPr>
          <w:p/>
        </w:tc>
        <w:tc>
          <w:tcPr>
            <w:tcW w:type="dxa" w:w="2268"/>
            <w:shd w:val="clear" w:color="auto" w:fill="F2F2F2"/>
          </w:tcPr>
          <w:p/>
        </w:tc>
      </w:tr>
      <w:tr>
        <w:trPr>
          <w:trHeight w:val="567" w:hRule="atLeast"/>
        </w:trPr>
        <w:tc>
          <w:tcPr>
            <w:tcW w:type="dxa" w:w="2835"/>
            <w:shd w:val="clear" w:color="auto" w:fill="FFFFFF"/>
          </w:tcPr>
          <w:p/>
        </w:tc>
        <w:tc>
          <w:tcPr>
            <w:tcW w:type="dxa" w:w="1701"/>
            <w:shd w:val="clear" w:color="auto" w:fill="FFFFFF"/>
          </w:tcPr>
          <w:p/>
        </w:tc>
        <w:tc>
          <w:tcPr>
            <w:tcW w:type="dxa" w:w="2268"/>
            <w:shd w:val="clear" w:color="auto" w:fill="FFFFFF"/>
          </w:tcPr>
          <w:p/>
        </w:tc>
        <w:tc>
          <w:tcPr>
            <w:tcW w:type="dxa" w:w="2268"/>
            <w:shd w:val="clear" w:color="auto" w:fill="FFFFFF"/>
          </w:tcPr>
          <w:p/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5. EQUIPO PROPUESTO Y ACREDITACIÓN DE SOLVENCIA (§7)</w:t>
      </w:r>
    </w:p>
    <w:p>
      <w:pPr>
        <w:spacing w:before="0" w:after="120"/>
      </w:pPr>
      <w:r>
        <w:rPr>
          <w:rFonts w:ascii="Calibri" w:hAnsi="Calibri"/>
          <w:b/>
          <w:i/>
          <w:color w:val="1F5C99"/>
          <w:sz w:val="19"/>
        </w:rPr>
        <w:t>[Contribuye a: Experiencia y adecuación del equipo por encima de los mínimos de solvencia · 5 pts  +  Experiencia y enfoque específico en administración local y supramunicipal · 5 pts]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El equipo propuesto se describe en la plantilla B2_DescripcionEquipo y se acredita mediante los CVs de la plantilla B3_CurriculumParticipantes. No duplique esa información aquí; cumplimente únicamente la tabla de solvencia técnica del oferente (empresa) a continuación.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5.1 Solvencia técnica del oferente (empresa) — mínimo 2 proyectos en los últimos 4 años</w:t>
      </w:r>
    </w:p>
    <w:p>
      <w:pPr>
        <w:spacing w:before="40" w:after="80"/>
      </w:pPr>
      <w:r>
        <w:rPr>
          <w:rFonts w:ascii="Times New Roman" w:hAnsi="Times New Roman"/>
          <w:b/>
          <w:color w:val="C55A11"/>
          <w:sz w:val="20"/>
        </w:rPr>
        <w:t>⚠  Requisito mínimo de exclusión: al menos 2 proyectos de consultoría, estudio o asistencia técnica en economía del dato, espacios de datos o datos abiertos/gobierno del dato — al menos uno para o sobre el sector público y al menos uno con experiencia acreditada en transformación digital, gobierno del dato o espacios de datos para entidades locales o supramunicipales.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Cada proyecto alegado debe identificarse de forma explícita e inequívoca: cliente, título o descripción concreta del proyecto, importe, fechas de inicio y fin, y una descripción del contenido que permita verificar su pertinencia respecto de los requisitos mínimos. No se admitirán relaciones de proyectos genéricas, sin fechas o sin descripción verificable.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</w:tblGrid>
      <w:tr>
        <w:tc>
          <w:tcPr>
            <w:tcW w:type="dxa" w:w="454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Nº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Proyecto</w:t>
            </w:r>
          </w:p>
        </w:tc>
        <w:tc>
          <w:tcPr>
            <w:tcW w:type="dxa" w:w="1701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1134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Importe (€)</w:t>
            </w:r>
          </w:p>
        </w:tc>
        <w:tc>
          <w:tcPr>
            <w:tcW w:type="dxa" w:w="141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Fechas</w:t>
            </w:r>
          </w:p>
        </w:tc>
        <w:tc>
          <w:tcPr>
            <w:tcW w:type="dxa" w:w="2665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Descripción y relación con los requisitos mínimos</w:t>
            </w:r>
          </w:p>
        </w:tc>
      </w:tr>
      <w:tr>
        <w:tc>
          <w:tcPr>
            <w:tcW w:type="dxa" w:w="45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1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13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2665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rFonts w:ascii="Times New Roman" w:hAnsi="Times New Roman"/>
                <w:sz w:val="18"/>
              </w:rPr>
              <w:t>2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2665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  <w:t>3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134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2665"/>
            <w:shd w:val="clear" w:color="auto" w:fill="F2F2F2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  <w:tr>
        <w:tc>
          <w:tcPr>
            <w:tcW w:type="dxa" w:w="454"/>
          </w:tcPr>
          <w:p>
            <w:r>
              <w:rPr>
                <w:rFonts w:ascii="Times New Roman" w:hAnsi="Times New Roman"/>
                <w:sz w:val="18"/>
              </w:rPr>
              <w:t>4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type="dxa" w:w="2665"/>
          </w:tcPr>
          <w:p>
            <w:r>
              <w:rPr>
                <w:rFonts w:ascii="Times New Roman" w:hAnsi="Times New Roman"/>
                <w:sz w:val="18"/>
              </w:rPr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6. MEJORAS OFERTADAS, EN SU CASO</w:t>
      </w:r>
    </w:p>
    <w:p>
      <w:pPr>
        <w:spacing w:before="0" w:after="120"/>
      </w:pPr>
      <w:r>
        <w:rPr>
          <w:rFonts w:ascii="Calibri" w:hAnsi="Calibri"/>
          <w:b/>
          <w:i/>
          <w:color w:val="1F5C99"/>
          <w:sz w:val="19"/>
        </w:rPr>
        <w:t>[Contribuye a: Mejoras con valor añadido sin coste adicional · 5 pts]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Describa mejoras con valor añadido sin coste adicional para Gaia-X España (p. ej. repositorio vivo del inventario, sesión de validación adicional, guía política adicional, materiales formativos, cuadro de mando de indicadores, o un prototipo más avanzado de la herramienta de autodiagnóstico).</w:t>
      </w:r>
    </w:p>
    <w:p/>
    <w:p/>
    <w:p/>
    <w:p/>
    <w:p/>
    <w:p>
      <w:pPr>
        <w:spacing w:before="200" w:after="80"/>
      </w:pPr>
      <w:r>
        <w:rPr>
          <w:rFonts w:ascii="Calibri" w:hAnsi="Calibri"/>
          <w:b/>
          <w:sz w:val="22"/>
        </w:rPr>
        <w:t>7. LISTADO DE DOCUMENTOS ADJUNTOS AL ARCHIVO B</w:t>
      </w: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Verifique que todos los documentos obligatorios están adjuntos antes de enviar la propuesta.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5669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Documento</w:t>
            </w:r>
          </w:p>
        </w:tc>
        <w:tc>
          <w:tcPr>
            <w:tcW w:type="dxa" w:w="1417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Obligatorio</w:t>
            </w:r>
          </w:p>
        </w:tc>
        <w:tc>
          <w:tcPr>
            <w:tcW w:type="dxa" w:w="1984"/>
            <w:shd w:val="clear" w:color="auto" w:fill="1F5C99"/>
            <w:vAlign w:val="center"/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Adjunto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19"/>
              </w:rPr>
              <w:t>B2_DescripcionEquipo — descripción del equipo de trabajo</w:t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19"/>
              </w:rPr>
              <w:t>Sí</w:t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19"/>
              </w:rPr>
              <w:t>[ ] Sí [ ] No aplica</w:t>
            </w:r>
          </w:p>
        </w:tc>
      </w:tr>
      <w:tr>
        <w:tc>
          <w:tcPr>
            <w:tcW w:type="dxa" w:w="5669"/>
          </w:tcPr>
          <w:p>
            <w:r>
              <w:rPr>
                <w:rFonts w:ascii="Times New Roman" w:hAnsi="Times New Roman"/>
                <w:sz w:val="19"/>
              </w:rPr>
              <w:t>B3_CurriculumParticipantes — un CV por cada persona del equipo (mínimo 2)</w:t>
            </w:r>
          </w:p>
        </w:tc>
        <w:tc>
          <w:tcPr>
            <w:tcW w:type="dxa" w:w="1417"/>
          </w:tcPr>
          <w:p>
            <w:r>
              <w:rPr>
                <w:rFonts w:ascii="Times New Roman" w:hAnsi="Times New Roman"/>
                <w:sz w:val="19"/>
              </w:rPr>
              <w:t>Sí</w:t>
            </w:r>
          </w:p>
        </w:tc>
        <w:tc>
          <w:tcPr>
            <w:tcW w:type="dxa" w:w="1984"/>
          </w:tcPr>
          <w:p>
            <w:r>
              <w:rPr>
                <w:rFonts w:ascii="Times New Roman" w:hAnsi="Times New Roman"/>
                <w:sz w:val="19"/>
              </w:rPr>
              <w:t>[ ] Sí [ ] No aplica</w:t>
            </w:r>
          </w:p>
        </w:tc>
      </w:tr>
      <w:tr>
        <w:tc>
          <w:tcPr>
            <w:tcW w:type="dxa" w:w="5669"/>
            <w:shd w:val="clear" w:color="auto" w:fill="F2F2F2"/>
          </w:tcPr>
          <w:p>
            <w:r>
              <w:rPr>
                <w:rFonts w:ascii="Times New Roman" w:hAnsi="Times New Roman"/>
                <w:sz w:val="19"/>
              </w:rPr>
              <w:t>B4_Documento_Confidencialidad — apartados confidenciales</w:t>
            </w:r>
          </w:p>
        </w:tc>
        <w:tc>
          <w:tcPr>
            <w:tcW w:type="dxa" w:w="1417"/>
            <w:shd w:val="clear" w:color="auto" w:fill="F2F2F2"/>
          </w:tcPr>
          <w:p>
            <w:r>
              <w:rPr>
                <w:rFonts w:ascii="Times New Roman" w:hAnsi="Times New Roman"/>
                <w:sz w:val="19"/>
              </w:rPr>
              <w:t>Opcional</w:t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rFonts w:ascii="Times New Roman" w:hAnsi="Times New Roman"/>
                <w:sz w:val="19"/>
              </w:rPr>
              <w:t>[ ] Sí [ ] No aplica</w:t>
            </w:r>
          </w:p>
        </w:tc>
      </w:tr>
    </w:tbl>
    <w:p/>
    <w:p>
      <w:pPr>
        <w:spacing w:before="200" w:after="80"/>
      </w:pPr>
      <w:r>
        <w:rPr>
          <w:rFonts w:ascii="Calibri" w:hAnsi="Calibri"/>
          <w:b/>
          <w:sz w:val="22"/>
        </w:rPr>
        <w:t>DECLARACIÓN Y FIRMA</w:t>
      </w:r>
    </w:p>
    <w:p>
      <w:pPr>
        <w:spacing w:before="40" w:after="80"/>
      </w:pPr>
      <w:r>
        <w:rPr>
          <w:rFonts w:ascii="Times New Roman" w:hAnsi="Times New Roman"/>
          <w:sz w:val="21"/>
        </w:rPr>
        <w:t>El/La abajo firmante, actuando en nombre y representación de la entidad licitadora, declara que la información contenida en la presente propuesta técnica es veraz, completa y verificable, que la entidad tiene capacidad legal para contratar y que acepta íntegramente las condiciones del Pliego (expediente GAIX-ESP-2026-003). La presente oferta tiene una validez de 60 días naturales desde la fecha límite de presentación.</w:t>
      </w:r>
    </w:p>
    <w:p/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p>
      <w:pPr>
        <w:pBdr>
          <w:bottom w:val="single" w:sz="6" w:space="1" w:color="CCCCCC"/>
        </w:pBdr>
      </w:pPr>
    </w:p>
    <w:p>
      <w:pPr>
        <w:spacing w:before="40" w:after="80"/>
        <w:ind w:left="170"/>
      </w:pPr>
      <w:r>
        <w:rPr>
          <w:rFonts w:ascii="Times New Roman" w:hAnsi="Times New Roman"/>
          <w:i/>
          <w:color w:val="707070"/>
          <w:sz w:val="19"/>
        </w:rPr>
        <w:t>▸ Expediente: GAIX-ESP-2026-003 · Gaia-X España · Plazo de presentación: 24 de agosto de 2026 · Canal: susana.estables@gaiax-spain.com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