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rFonts w:ascii="Calibri" w:hAnsi="Calibri"/>
          <w:b/>
          <w:color w:val="1F5C99"/>
          <w:sz w:val="28"/>
        </w:rPr>
        <w:t>PROPUESTA TÉCNICA</w:t>
      </w:r>
    </w:p>
    <w:p>
      <w:pPr>
        <w:spacing w:after="40"/>
      </w:pPr>
      <w:r>
        <w:rPr>
          <w:rFonts w:ascii="Calibri" w:hAnsi="Calibri"/>
          <w:color w:val="1F5C99"/>
          <w:sz w:val="22"/>
        </w:rPr>
        <w:t>Archivo B – Documentación Técnica (B.1)</w:t>
      </w:r>
    </w:p>
    <w:p>
      <w:pPr>
        <w:pBdr>
          <w:bottom w:val="single" w:sz="6" w:space="1" w:color="2E74B5"/>
        </w:pBdr>
      </w:pPr>
    </w:p>
    <w:p/>
    <w:tbl>
      <w:tblPr>
        <w:tblStyle w:val="TableGrid"/>
        <w:tblW w:type="auto" w:w="0"/>
        <w:jc w:val="left"/>
        <w:tblLook w:firstColumn="1" w:firstRow="1" w:lastColumn="0" w:lastRow="0" w:noHBand="0" w:noVBand="1" w:val="04A0"/>
      </w:tblPr>
      <w:tblGrid>
        <w:gridCol w:w="4561"/>
        <w:gridCol w:w="4561"/>
      </w:tblGrid>
      <w:tr>
        <w:tc>
          <w:tcPr>
            <w:tcW w:type="dxa" w:w="3402"/>
            <w:shd w:val="clear" w:color="auto" w:fill="1F5C99"/>
            <w:vAlign w:val="center"/>
          </w:tcPr>
          <w:p>
            <w:r>
              <w:rPr>
                <w:rFonts w:ascii="Calibri" w:hAnsi="Calibri"/>
                <w:b/>
                <w:color w:val="FFFFFF"/>
                <w:sz w:val="20"/>
              </w:rPr>
              <w:t>Campo</w:t>
            </w:r>
          </w:p>
        </w:tc>
        <w:tc>
          <w:tcPr>
            <w:tcW w:type="dxa" w:w="5669"/>
            <w:shd w:val="clear" w:color="auto" w:fill="1F5C99"/>
            <w:vAlign w:val="center"/>
          </w:tcPr>
          <w:p>
            <w:r>
              <w:rPr>
                <w:rFonts w:ascii="Calibri" w:hAnsi="Calibri"/>
                <w:b/>
                <w:color w:val="FFFFFF"/>
                <w:sz w:val="20"/>
              </w:rPr>
              <w:t>Valor</w:t>
            </w:r>
          </w:p>
        </w:tc>
      </w:tr>
      <w:tr>
        <w:tc>
          <w:tcPr>
            <w:tcW w:type="dxa" w:w="3402"/>
            <w:shd w:val="clear" w:color="auto" w:fill="F2F2F2"/>
          </w:tcPr>
          <w:p>
            <w:r>
              <w:rPr>
                <w:rFonts w:ascii="Times New Roman" w:hAnsi="Times New Roman"/>
                <w:sz w:val="20"/>
              </w:rPr>
              <w:t>Referencia del expediente</w:t>
            </w:r>
          </w:p>
        </w:tc>
        <w:tc>
          <w:tcPr>
            <w:tcW w:type="dxa" w:w="5669"/>
            <w:shd w:val="clear" w:color="auto" w:fill="F2F2F2"/>
          </w:tcPr>
          <w:p>
            <w:r>
              <w:rPr>
                <w:rFonts w:ascii="Times New Roman" w:hAnsi="Times New Roman"/>
                <w:sz w:val="20"/>
              </w:rPr>
              <w:t>GAIX-ESP-2026-005</w:t>
            </w:r>
          </w:p>
        </w:tc>
      </w:tr>
      <w:tr>
        <w:tc>
          <w:tcPr>
            <w:tcW w:type="dxa" w:w="3402"/>
          </w:tcPr>
          <w:p>
            <w:r>
              <w:rPr>
                <w:rFonts w:ascii="Times New Roman" w:hAnsi="Times New Roman"/>
                <w:sz w:val="20"/>
              </w:rPr>
              <w:t>Entidad convocante</w:t>
            </w:r>
          </w:p>
        </w:tc>
        <w:tc>
          <w:tcPr>
            <w:tcW w:type="dxa" w:w="5669"/>
          </w:tcPr>
          <w:p>
            <w:r>
              <w:rPr>
                <w:rFonts w:ascii="Times New Roman" w:hAnsi="Times New Roman"/>
                <w:sz w:val="20"/>
              </w:rPr>
              <w:t>Asociación Gaia-X España (CIF: G72514771)</w:t>
            </w:r>
          </w:p>
        </w:tc>
      </w:tr>
      <w:tr>
        <w:tc>
          <w:tcPr>
            <w:tcW w:type="dxa" w:w="3402"/>
            <w:shd w:val="clear" w:color="auto" w:fill="F2F2F2"/>
          </w:tcPr>
          <w:p>
            <w:r>
              <w:rPr>
                <w:rFonts w:ascii="Times New Roman" w:hAnsi="Times New Roman"/>
                <w:sz w:val="20"/>
              </w:rPr>
              <w:t>Objeto de la licitación</w:t>
            </w:r>
          </w:p>
        </w:tc>
        <w:tc>
          <w:tcPr>
            <w:tcW w:type="dxa" w:w="5669"/>
            <w:shd w:val="clear" w:color="auto" w:fill="F2F2F2"/>
          </w:tcPr>
          <w:p>
            <w:r>
              <w:rPr>
                <w:rFonts w:ascii="Times New Roman" w:hAnsi="Times New Roman"/>
                <w:sz w:val="20"/>
              </w:rPr>
              <w:t>Migración, soporte SEO y alojamiento (hosting) del sitio web www.gaiax-spain.com</w:t>
            </w:r>
          </w:p>
        </w:tc>
      </w:tr>
      <w:tr>
        <w:tc>
          <w:tcPr>
            <w:tcW w:type="dxa" w:w="3402"/>
          </w:tcPr>
          <w:p>
            <w:r>
              <w:rPr>
                <w:rFonts w:ascii="Times New Roman" w:hAnsi="Times New Roman"/>
                <w:sz w:val="20"/>
              </w:rPr>
              <w:t>Presupuesto máximo (IVA excl.)</w:t>
            </w:r>
          </w:p>
        </w:tc>
        <w:tc>
          <w:tcPr>
            <w:tcW w:type="dxa" w:w="5669"/>
          </w:tcPr>
          <w:p>
            <w:r>
              <w:rPr>
                <w:rFonts w:ascii="Times New Roman" w:hAnsi="Times New Roman"/>
                <w:sz w:val="20"/>
              </w:rPr>
              <w:t>9.000,00 € (IVA excluido)</w:t>
            </w:r>
          </w:p>
        </w:tc>
      </w:tr>
      <w:tr>
        <w:tc>
          <w:tcPr>
            <w:tcW w:type="dxa" w:w="3402"/>
            <w:shd w:val="clear" w:color="auto" w:fill="F2F2F2"/>
          </w:tcPr>
          <w:p>
            <w:r>
              <w:rPr>
                <w:rFonts w:ascii="Times New Roman" w:hAnsi="Times New Roman"/>
                <w:sz w:val="20"/>
              </w:rPr>
              <w:t>Plazo de presentación</w:t>
            </w:r>
          </w:p>
        </w:tc>
        <w:tc>
          <w:tcPr>
            <w:tcW w:type="dxa" w:w="5669"/>
            <w:shd w:val="clear" w:color="auto" w:fill="F2F2F2"/>
          </w:tcPr>
          <w:p>
            <w:r>
              <w:rPr>
                <w:rFonts w:ascii="Times New Roman" w:hAnsi="Times New Roman"/>
                <w:sz w:val="20"/>
              </w:rPr>
              <w:t>15 días naturales desde la publicación del pliego (fecha exacta a confirmar)</w:t>
            </w:r>
          </w:p>
        </w:tc>
      </w:tr>
      <w:tr>
        <w:tc>
          <w:tcPr>
            <w:tcW w:type="dxa" w:w="3402"/>
          </w:tcPr>
          <w:p>
            <w:r>
              <w:rPr>
                <w:rFonts w:ascii="Times New Roman" w:hAnsi="Times New Roman"/>
                <w:sz w:val="20"/>
              </w:rPr>
              <w:t>Canal de envío</w:t>
            </w:r>
          </w:p>
        </w:tc>
        <w:tc>
          <w:tcPr>
            <w:tcW w:type="dxa" w:w="5669"/>
          </w:tcPr>
          <w:p>
            <w:r>
              <w:rPr>
                <w:rFonts w:ascii="Times New Roman" w:hAnsi="Times New Roman"/>
                <w:sz w:val="20"/>
              </w:rPr>
              <w:t>susana.estables@gaiax-spain.com</w:t>
            </w:r>
          </w:p>
        </w:tc>
      </w:tr>
      <w:tr>
        <w:tc>
          <w:tcPr>
            <w:tcW w:type="dxa" w:w="3402"/>
            <w:shd w:val="clear" w:color="auto" w:fill="F2F2F2"/>
          </w:tcPr>
          <w:p>
            <w:r>
              <w:rPr>
                <w:rFonts w:ascii="Times New Roman" w:hAnsi="Times New Roman"/>
                <w:sz w:val="20"/>
              </w:rPr>
              <w:t>Asunto del correo</w:t>
            </w:r>
          </w:p>
        </w:tc>
        <w:tc>
          <w:tcPr>
            <w:tcW w:type="dxa" w:w="5669"/>
            <w:shd w:val="clear" w:color="auto" w:fill="F2F2F2"/>
          </w:tcPr>
          <w:p>
            <w:r>
              <w:rPr>
                <w:rFonts w:ascii="Times New Roman" w:hAnsi="Times New Roman"/>
                <w:sz w:val="20"/>
              </w:rPr>
              <w:t>Oferta Migración, SEO y Hosting Web GAIA-X España – [Nombre del Licitador]</w:t>
            </w:r>
          </w:p>
        </w:tc>
      </w:tr>
    </w:tbl>
    <w:p/>
    <w:p>
      <w:pPr>
        <w:spacing w:before="40" w:after="80"/>
      </w:pPr>
      <w:r>
        <w:rPr>
          <w:rFonts w:ascii="Times New Roman" w:hAnsi="Times New Roman"/>
          <w:sz w:val="21"/>
        </w:rPr>
        <w:t>El presente documento constituye la plantilla del Archivo B.1 (Propuesta Técnica). El licitador deberá cumplimentar todas las secciones marcadas y eliminar las instrucciones en cursiva antes de presentar su oferta. Los Archivos A, B y C deben enviarse como documentos independientes, sin mezclar contenido entre ellos.</w:t>
      </w:r>
    </w:p>
    <w:p>
      <w:pPr>
        <w:spacing w:before="40" w:after="80"/>
      </w:pPr>
      <w:r>
        <w:rPr>
          <w:rFonts w:ascii="Times New Roman" w:hAnsi="Times New Roman"/>
          <w:b/>
          <w:color w:val="C55A11"/>
          <w:sz w:val="20"/>
        </w:rPr>
        <w:t>⚠  REQUISITOS OBLIGATORIOS DE EXCLUSIÓN: las secciones 1 a 3 (soberanía tecnológica europea y ciberseguridad obligatoria) no otorgan puntuación, pero su incumplimiento supone la exclusión automática de la oferta, con independencia del resto de su valoración (Partes II y III.1 del Pliego).</w:t>
      </w:r>
    </w:p>
    <w:p>
      <w:pPr>
        <w:spacing w:before="200" w:after="80"/>
      </w:pPr>
      <w:r>
        <w:rPr>
          <w:rFonts w:ascii="Calibri" w:hAnsi="Calibri"/>
          <w:b/>
          <w:sz w:val="22"/>
        </w:rPr>
        <w:t>ÍNDICE</w:t>
      </w:r>
    </w:p>
    <w:tbl>
      <w:tblPr>
        <w:tblStyle w:val="TableGrid"/>
        <w:tblW w:type="auto" w:w="0"/>
        <w:jc w:val="left"/>
        <w:tblLook w:firstColumn="1" w:firstRow="1" w:lastColumn="0" w:lastRow="0" w:noHBand="0" w:noVBand="1" w:val="04A0"/>
      </w:tblPr>
      <w:tblGrid>
        <w:gridCol w:w="3041"/>
        <w:gridCol w:w="3041"/>
        <w:gridCol w:w="3041"/>
      </w:tblGrid>
      <w:tr>
        <w:tc>
          <w:tcPr>
            <w:tcW w:type="dxa" w:w="567"/>
            <w:shd w:val="clear" w:color="auto" w:fill="1F5C99"/>
            <w:vAlign w:val="center"/>
          </w:tcPr>
          <w:p>
            <w:r>
              <w:rPr>
                <w:rFonts w:ascii="Calibri" w:hAnsi="Calibri"/>
                <w:b/>
                <w:color w:val="FFFFFF"/>
                <w:sz w:val="19"/>
              </w:rPr>
              <w:t>§</w:t>
            </w:r>
          </w:p>
        </w:tc>
        <w:tc>
          <w:tcPr>
            <w:tcW w:type="dxa" w:w="5102"/>
            <w:shd w:val="clear" w:color="auto" w:fill="1F5C99"/>
            <w:vAlign w:val="center"/>
          </w:tcPr>
          <w:p>
            <w:r>
              <w:rPr>
                <w:rFonts w:ascii="Calibri" w:hAnsi="Calibri"/>
                <w:b/>
                <w:color w:val="FFFFFF"/>
                <w:sz w:val="19"/>
              </w:rPr>
              <w:t>Apartado</w:t>
            </w:r>
          </w:p>
        </w:tc>
        <w:tc>
          <w:tcPr>
            <w:tcW w:type="dxa" w:w="3402"/>
            <w:shd w:val="clear" w:color="auto" w:fill="1F5C99"/>
            <w:vAlign w:val="center"/>
          </w:tcPr>
          <w:p>
            <w:r>
              <w:rPr>
                <w:rFonts w:ascii="Calibri" w:hAnsi="Calibri"/>
                <w:b/>
                <w:color w:val="FFFFFF"/>
                <w:sz w:val="19"/>
              </w:rPr>
              <w:t>Criterio de valoración asociado</w:t>
            </w:r>
          </w:p>
        </w:tc>
      </w:tr>
      <w:tr>
        <w:tc>
          <w:tcPr>
            <w:tcW w:type="dxa" w:w="567"/>
            <w:shd w:val="clear" w:color="auto" w:fill="F2F2F2"/>
          </w:tcPr>
          <w:p>
            <w:r>
              <w:rPr>
                <w:rFonts w:ascii="Times New Roman" w:hAnsi="Times New Roman"/>
                <w:sz w:val="18"/>
              </w:rPr>
              <w:t>0</w:t>
            </w:r>
          </w:p>
        </w:tc>
        <w:tc>
          <w:tcPr>
            <w:tcW w:type="dxa" w:w="5102"/>
            <w:shd w:val="clear" w:color="auto" w:fill="F2F2F2"/>
          </w:tcPr>
          <w:p>
            <w:r>
              <w:rPr>
                <w:rFonts w:ascii="Times New Roman" w:hAnsi="Times New Roman"/>
                <w:sz w:val="18"/>
              </w:rPr>
              <w:t>Datos del licitador</w:t>
            </w:r>
          </w:p>
        </w:tc>
        <w:tc>
          <w:tcPr>
            <w:tcW w:type="dxa" w:w="3402"/>
            <w:shd w:val="clear" w:color="auto" w:fill="F2F2F2"/>
          </w:tcPr>
          <w:p>
            <w:r>
              <w:rPr>
                <w:rFonts w:ascii="Times New Roman" w:hAnsi="Times New Roman"/>
                <w:sz w:val="18"/>
              </w:rPr>
            </w:r>
          </w:p>
        </w:tc>
      </w:tr>
      <w:tr>
        <w:tc>
          <w:tcPr>
            <w:tcW w:type="dxa" w:w="567"/>
          </w:tcPr>
          <w:p>
            <w:r>
              <w:rPr>
                <w:rFonts w:ascii="Times New Roman" w:hAnsi="Times New Roman"/>
                <w:sz w:val="18"/>
              </w:rPr>
              <w:t>1</w:t>
            </w:r>
          </w:p>
        </w:tc>
        <w:tc>
          <w:tcPr>
            <w:tcW w:type="dxa" w:w="5102"/>
          </w:tcPr>
          <w:p>
            <w:r>
              <w:rPr>
                <w:rFonts w:ascii="Times New Roman" w:hAnsi="Times New Roman"/>
                <w:sz w:val="18"/>
              </w:rPr>
              <w:t>Soberanía tecnológica europea (T1-T2)</w:t>
            </w:r>
          </w:p>
        </w:tc>
        <w:tc>
          <w:tcPr>
            <w:tcW w:type="dxa" w:w="3402"/>
          </w:tcPr>
          <w:p>
            <w:r>
              <w:rPr>
                <w:rFonts w:ascii="Times New Roman" w:hAnsi="Times New Roman"/>
                <w:sz w:val="18"/>
              </w:rPr>
              <w:t>— (exigido, sin puntuación; causa de exclusión)</w:t>
            </w:r>
          </w:p>
        </w:tc>
      </w:tr>
      <w:tr>
        <w:tc>
          <w:tcPr>
            <w:tcW w:type="dxa" w:w="567"/>
            <w:shd w:val="clear" w:color="auto" w:fill="F2F2F2"/>
          </w:tcPr>
          <w:p>
            <w:r>
              <w:rPr>
                <w:rFonts w:ascii="Times New Roman" w:hAnsi="Times New Roman"/>
                <w:sz w:val="18"/>
              </w:rPr>
              <w:t>2</w:t>
            </w:r>
          </w:p>
        </w:tc>
        <w:tc>
          <w:tcPr>
            <w:tcW w:type="dxa" w:w="5102"/>
            <w:shd w:val="clear" w:color="auto" w:fill="F2F2F2"/>
          </w:tcPr>
          <w:p>
            <w:r>
              <w:rPr>
                <w:rFonts w:ascii="Times New Roman" w:hAnsi="Times New Roman"/>
                <w:sz w:val="18"/>
              </w:rPr>
              <w:t>Arquitectura técnica: hosting de aplicaciones y compatibilidad WordPress (T3-T6)</w:t>
            </w:r>
          </w:p>
        </w:tc>
        <w:tc>
          <w:tcPr>
            <w:tcW w:type="dxa" w:w="3402"/>
            <w:shd w:val="clear" w:color="auto" w:fill="F2F2F2"/>
          </w:tcPr>
          <w:p>
            <w:r>
              <w:rPr>
                <w:rFonts w:ascii="Times New Roman" w:hAnsi="Times New Roman"/>
                <w:sz w:val="18"/>
              </w:rPr>
              <w:t>Capacidad de alojamiento de aplicaciones · 10 pts</w:t>
            </w:r>
          </w:p>
        </w:tc>
      </w:tr>
      <w:tr>
        <w:tc>
          <w:tcPr>
            <w:tcW w:type="dxa" w:w="567"/>
          </w:tcPr>
          <w:p>
            <w:r>
              <w:rPr>
                <w:rFonts w:ascii="Times New Roman" w:hAnsi="Times New Roman"/>
                <w:sz w:val="18"/>
              </w:rPr>
              <w:t>3</w:t>
            </w:r>
          </w:p>
        </w:tc>
        <w:tc>
          <w:tcPr>
            <w:tcW w:type="dxa" w:w="5102"/>
          </w:tcPr>
          <w:p>
            <w:r>
              <w:rPr>
                <w:rFonts w:ascii="Times New Roman" w:hAnsi="Times New Roman"/>
                <w:sz w:val="18"/>
              </w:rPr>
              <w:t>Ciberseguridad: obligatoria y valorable</w:t>
            </w:r>
          </w:p>
        </w:tc>
        <w:tc>
          <w:tcPr>
            <w:tcW w:type="dxa" w:w="3402"/>
          </w:tcPr>
          <w:p>
            <w:r>
              <w:rPr>
                <w:rFonts w:ascii="Times New Roman" w:hAnsi="Times New Roman"/>
                <w:sz w:val="18"/>
              </w:rPr>
              <w:t>Ciberseguridad · 15 pts</w:t>
            </w:r>
          </w:p>
        </w:tc>
      </w:tr>
      <w:tr>
        <w:tc>
          <w:tcPr>
            <w:tcW w:type="dxa" w:w="567"/>
            <w:shd w:val="clear" w:color="auto" w:fill="F2F2F2"/>
          </w:tcPr>
          <w:p>
            <w:r>
              <w:rPr>
                <w:rFonts w:ascii="Times New Roman" w:hAnsi="Times New Roman"/>
                <w:sz w:val="18"/>
              </w:rPr>
              <w:t>4</w:t>
            </w:r>
          </w:p>
        </w:tc>
        <w:tc>
          <w:tcPr>
            <w:tcW w:type="dxa" w:w="5102"/>
            <w:shd w:val="clear" w:color="auto" w:fill="F2F2F2"/>
          </w:tcPr>
          <w:p>
            <w:r>
              <w:rPr>
                <w:rFonts w:ascii="Times New Roman" w:hAnsi="Times New Roman"/>
                <w:sz w:val="18"/>
              </w:rPr>
              <w:t>Plan de migración y continuidad SEO</w:t>
            </w:r>
          </w:p>
        </w:tc>
        <w:tc>
          <w:tcPr>
            <w:tcW w:type="dxa" w:w="3402"/>
            <w:shd w:val="clear" w:color="auto" w:fill="F2F2F2"/>
          </w:tcPr>
          <w:p>
            <w:r>
              <w:rPr>
                <w:rFonts w:ascii="Times New Roman" w:hAnsi="Times New Roman"/>
                <w:sz w:val="18"/>
              </w:rPr>
              <w:t>Migración y continuidad SEO · 10 pts</w:t>
            </w:r>
          </w:p>
        </w:tc>
      </w:tr>
      <w:tr>
        <w:tc>
          <w:tcPr>
            <w:tcW w:type="dxa" w:w="567"/>
          </w:tcPr>
          <w:p>
            <w:r>
              <w:rPr>
                <w:rFonts w:ascii="Times New Roman" w:hAnsi="Times New Roman"/>
                <w:sz w:val="18"/>
              </w:rPr>
              <w:t>5</w:t>
            </w:r>
          </w:p>
        </w:tc>
        <w:tc>
          <w:tcPr>
            <w:tcW w:type="dxa" w:w="5102"/>
          </w:tcPr>
          <w:p>
            <w:r>
              <w:rPr>
                <w:rFonts w:ascii="Times New Roman" w:hAnsi="Times New Roman"/>
                <w:sz w:val="18"/>
              </w:rPr>
              <w:t>Integración con redes sociales (Twitter/X, LinkedIn)</w:t>
            </w:r>
          </w:p>
        </w:tc>
        <w:tc>
          <w:tcPr>
            <w:tcW w:type="dxa" w:w="3402"/>
          </w:tcPr>
          <w:p>
            <w:r>
              <w:rPr>
                <w:rFonts w:ascii="Times New Roman" w:hAnsi="Times New Roman"/>
                <w:sz w:val="18"/>
              </w:rPr>
              <w:t>Integración redes sociales · 5 pts</w:t>
            </w:r>
          </w:p>
        </w:tc>
      </w:tr>
      <w:tr>
        <w:tc>
          <w:tcPr>
            <w:tcW w:type="dxa" w:w="567"/>
            <w:shd w:val="clear" w:color="auto" w:fill="F2F2F2"/>
          </w:tcPr>
          <w:p>
            <w:r>
              <w:rPr>
                <w:rFonts w:ascii="Times New Roman" w:hAnsi="Times New Roman"/>
                <w:sz w:val="18"/>
              </w:rPr>
              <w:t>6</w:t>
            </w:r>
          </w:p>
        </w:tc>
        <w:tc>
          <w:tcPr>
            <w:tcW w:type="dxa" w:w="5102"/>
            <w:shd w:val="clear" w:color="auto" w:fill="F2F2F2"/>
          </w:tcPr>
          <w:p>
            <w:r>
              <w:rPr>
                <w:rFonts w:ascii="Times New Roman" w:hAnsi="Times New Roman"/>
                <w:sz w:val="18"/>
              </w:rPr>
              <w:t>Soporte técnico y compromisos de servicio (SLA)</w:t>
            </w:r>
          </w:p>
        </w:tc>
        <w:tc>
          <w:tcPr>
            <w:tcW w:type="dxa" w:w="3402"/>
            <w:shd w:val="clear" w:color="auto" w:fill="F2F2F2"/>
          </w:tcPr>
          <w:p>
            <w:r>
              <w:rPr>
                <w:rFonts w:ascii="Times New Roman" w:hAnsi="Times New Roman"/>
                <w:sz w:val="18"/>
              </w:rPr>
              <w:t>Soporte técnico · 10 pts</w:t>
            </w:r>
          </w:p>
        </w:tc>
      </w:tr>
      <w:tr>
        <w:tc>
          <w:tcPr>
            <w:tcW w:type="dxa" w:w="567"/>
          </w:tcPr>
          <w:p>
            <w:r>
              <w:rPr>
                <w:rFonts w:ascii="Times New Roman" w:hAnsi="Times New Roman"/>
                <w:sz w:val="18"/>
              </w:rPr>
              <w:t>7</w:t>
            </w:r>
          </w:p>
        </w:tc>
        <w:tc>
          <w:tcPr>
            <w:tcW w:type="dxa" w:w="5102"/>
          </w:tcPr>
          <w:p>
            <w:r>
              <w:rPr>
                <w:rFonts w:ascii="Times New Roman" w:hAnsi="Times New Roman"/>
                <w:sz w:val="18"/>
              </w:rPr>
              <w:t>Otras mejoras propuestas</w:t>
            </w:r>
          </w:p>
        </w:tc>
        <w:tc>
          <w:tcPr>
            <w:tcW w:type="dxa" w:w="3402"/>
          </w:tcPr>
          <w:p>
            <w:r>
              <w:rPr>
                <w:rFonts w:ascii="Times New Roman" w:hAnsi="Times New Roman"/>
                <w:sz w:val="18"/>
              </w:rPr>
              <w:t>Otras mejoras · 10 pts</w:t>
            </w:r>
          </w:p>
        </w:tc>
      </w:tr>
      <w:tr>
        <w:tc>
          <w:tcPr>
            <w:tcW w:type="dxa" w:w="567"/>
            <w:shd w:val="clear" w:color="auto" w:fill="F2F2F2"/>
          </w:tcPr>
          <w:p>
            <w:r>
              <w:rPr>
                <w:rFonts w:ascii="Times New Roman" w:hAnsi="Times New Roman"/>
                <w:sz w:val="18"/>
              </w:rPr>
              <w:t>8</w:t>
            </w:r>
          </w:p>
        </w:tc>
        <w:tc>
          <w:tcPr>
            <w:tcW w:type="dxa" w:w="5102"/>
            <w:shd w:val="clear" w:color="auto" w:fill="F2F2F2"/>
          </w:tcPr>
          <w:p>
            <w:r>
              <w:rPr>
                <w:rFonts w:ascii="Times New Roman" w:hAnsi="Times New Roman"/>
                <w:sz w:val="18"/>
              </w:rPr>
              <w:t>Bolsa de horas de soporte (50h): metodología de gestión</w:t>
            </w:r>
          </w:p>
        </w:tc>
        <w:tc>
          <w:tcPr>
            <w:tcW w:type="dxa" w:w="3402"/>
            <w:shd w:val="clear" w:color="auto" w:fill="F2F2F2"/>
          </w:tcPr>
          <w:p>
            <w:r>
              <w:rPr>
                <w:rFonts w:ascii="Times New Roman" w:hAnsi="Times New Roman"/>
                <w:sz w:val="18"/>
              </w:rPr>
              <w:t>— (exigido, sin puntuación independiente)</w:t>
            </w:r>
          </w:p>
        </w:tc>
      </w:tr>
      <w:tr>
        <w:tc>
          <w:tcPr>
            <w:tcW w:type="dxa" w:w="567"/>
          </w:tcPr>
          <w:p>
            <w:r>
              <w:rPr>
                <w:rFonts w:ascii="Times New Roman" w:hAnsi="Times New Roman"/>
                <w:sz w:val="18"/>
              </w:rPr>
              <w:t>9</w:t>
            </w:r>
          </w:p>
        </w:tc>
        <w:tc>
          <w:tcPr>
            <w:tcW w:type="dxa" w:w="5102"/>
          </w:tcPr>
          <w:p>
            <w:r>
              <w:rPr>
                <w:rFonts w:ascii="Times New Roman" w:hAnsi="Times New Roman"/>
                <w:sz w:val="18"/>
              </w:rPr>
              <w:t>Cronograma de ejecución</w:t>
            </w:r>
          </w:p>
        </w:tc>
        <w:tc>
          <w:tcPr>
            <w:tcW w:type="dxa" w:w="3402"/>
          </w:tcPr>
          <w:p>
            <w:r>
              <w:rPr>
                <w:rFonts w:ascii="Times New Roman" w:hAnsi="Times New Roman"/>
                <w:sz w:val="18"/>
              </w:rPr>
              <w:t>— (exigido, sin puntuación independiente)</w:t>
            </w:r>
          </w:p>
        </w:tc>
      </w:tr>
      <w:tr>
        <w:tc>
          <w:tcPr>
            <w:tcW w:type="dxa" w:w="567"/>
            <w:shd w:val="clear" w:color="auto" w:fill="F2F2F2"/>
          </w:tcPr>
          <w:p>
            <w:r>
              <w:rPr>
                <w:rFonts w:ascii="Times New Roman" w:hAnsi="Times New Roman"/>
                <w:sz w:val="18"/>
              </w:rPr>
              <w:t>10</w:t>
            </w:r>
          </w:p>
        </w:tc>
        <w:tc>
          <w:tcPr>
            <w:tcW w:type="dxa" w:w="5102"/>
            <w:shd w:val="clear" w:color="auto" w:fill="F2F2F2"/>
          </w:tcPr>
          <w:p>
            <w:r>
              <w:rPr>
                <w:rFonts w:ascii="Times New Roman" w:hAnsi="Times New Roman"/>
                <w:sz w:val="18"/>
              </w:rPr>
              <w:t>Compromisos adicionales (soberanía continuada y gestión de cookies)</w:t>
            </w:r>
          </w:p>
        </w:tc>
        <w:tc>
          <w:tcPr>
            <w:tcW w:type="dxa" w:w="3402"/>
            <w:shd w:val="clear" w:color="auto" w:fill="F2F2F2"/>
          </w:tcPr>
          <w:p>
            <w:r>
              <w:rPr>
                <w:rFonts w:ascii="Times New Roman" w:hAnsi="Times New Roman"/>
                <w:sz w:val="18"/>
              </w:rPr>
              <w:t>— (exigido, sin puntuación; cláusula 6.3 del Pliego y T7)</w:t>
            </w:r>
          </w:p>
        </w:tc>
      </w:tr>
      <w:tr>
        <w:tc>
          <w:tcPr>
            <w:tcW w:type="dxa" w:w="567"/>
          </w:tcPr>
          <w:p>
            <w:r>
              <w:rPr>
                <w:rFonts w:ascii="Times New Roman" w:hAnsi="Times New Roman"/>
                <w:sz w:val="18"/>
              </w:rPr>
              <w:t>11</w:t>
            </w:r>
          </w:p>
        </w:tc>
        <w:tc>
          <w:tcPr>
            <w:tcW w:type="dxa" w:w="5102"/>
          </w:tcPr>
          <w:p>
            <w:r>
              <w:rPr>
                <w:rFonts w:ascii="Times New Roman" w:hAnsi="Times New Roman"/>
                <w:sz w:val="18"/>
              </w:rPr>
              <w:t>Listado de documentos adjuntos al Archivo B</w:t>
            </w:r>
          </w:p>
        </w:tc>
        <w:tc>
          <w:tcPr>
            <w:tcW w:type="dxa" w:w="3402"/>
          </w:tcPr>
          <w:p>
            <w:r>
              <w:rPr>
                <w:rFonts w:ascii="Times New Roman" w:hAnsi="Times New Roman"/>
                <w:sz w:val="18"/>
              </w:rPr>
            </w:r>
          </w:p>
        </w:tc>
      </w:tr>
    </w:tbl>
    <w:p/>
    <w:p>
      <w:pPr>
        <w:spacing w:before="200" w:after="80"/>
      </w:pPr>
      <w:r>
        <w:rPr>
          <w:rFonts w:ascii="Calibri" w:hAnsi="Calibri"/>
          <w:b/>
          <w:sz w:val="22"/>
        </w:rPr>
        <w:t>0. DATOS DEL LICITADOR</w:t>
      </w:r>
    </w:p>
    <w:p>
      <w:pPr>
        <w:spacing w:before="40" w:after="60"/>
      </w:pPr>
      <w:r>
        <w:rPr>
          <w:rFonts w:ascii="Times New Roman" w:hAnsi="Times New Roman"/>
          <w:b/>
          <w:sz w:val="21"/>
        </w:rPr>
        <w:t xml:space="preserve">Razón social: </w:t>
      </w:r>
      <w:r>
        <w:rPr>
          <w:rFonts w:ascii="Times New Roman" w:hAnsi="Times New Roman"/>
          <w:sz w:val="21"/>
        </w:rPr>
        <w:t>[RAZÓN SOCIAL DE LA EMPRESA]</w:t>
      </w:r>
    </w:p>
    <w:p>
      <w:pPr>
        <w:spacing w:before="40" w:after="60"/>
      </w:pPr>
      <w:r>
        <w:rPr>
          <w:rFonts w:ascii="Times New Roman" w:hAnsi="Times New Roman"/>
          <w:b/>
          <w:sz w:val="21"/>
        </w:rPr>
        <w:t xml:space="preserve">CIF: </w:t>
      </w:r>
      <w:r>
        <w:rPr>
          <w:rFonts w:ascii="Times New Roman" w:hAnsi="Times New Roman"/>
          <w:sz w:val="21"/>
        </w:rPr>
        <w:t>[CIF]</w:t>
      </w:r>
    </w:p>
    <w:p>
      <w:pPr>
        <w:spacing w:before="40" w:after="60"/>
      </w:pPr>
      <w:r>
        <w:rPr>
          <w:rFonts w:ascii="Times New Roman" w:hAnsi="Times New Roman"/>
          <w:b/>
          <w:sz w:val="21"/>
        </w:rPr>
        <w:t xml:space="preserve">Domicilio: </w:t>
      </w:r>
      <w:r>
        <w:rPr>
          <w:rFonts w:ascii="Times New Roman" w:hAnsi="Times New Roman"/>
          <w:sz w:val="21"/>
        </w:rPr>
        <w:t>[DIRECCIÓN COMPLETA]</w:t>
      </w:r>
    </w:p>
    <w:p>
      <w:pPr>
        <w:spacing w:before="40" w:after="60"/>
      </w:pPr>
      <w:r>
        <w:rPr>
          <w:rFonts w:ascii="Times New Roman" w:hAnsi="Times New Roman"/>
          <w:b/>
          <w:sz w:val="21"/>
        </w:rPr>
        <w:t xml:space="preserve">Persona de contacto: </w:t>
      </w:r>
      <w:r>
        <w:rPr>
          <w:rFonts w:ascii="Times New Roman" w:hAnsi="Times New Roman"/>
          <w:sz w:val="21"/>
        </w:rPr>
        <w:t>[NOMBRE Y CARGO]</w:t>
      </w:r>
    </w:p>
    <w:p>
      <w:pPr>
        <w:spacing w:before="40" w:after="60"/>
      </w:pPr>
      <w:r>
        <w:rPr>
          <w:rFonts w:ascii="Times New Roman" w:hAnsi="Times New Roman"/>
          <w:b/>
          <w:sz w:val="21"/>
        </w:rPr>
        <w:t xml:space="preserve">Correo electrónico / teléfono: </w:t>
      </w:r>
      <w:r>
        <w:rPr>
          <w:rFonts w:ascii="Times New Roman" w:hAnsi="Times New Roman"/>
          <w:sz w:val="21"/>
        </w:rPr>
        <w:t>[CONTACTO]</w:t>
      </w:r>
    </w:p>
    <w:p>
      <w:pPr>
        <w:spacing w:before="40" w:after="60"/>
      </w:pPr>
      <w:r>
        <w:rPr>
          <w:rFonts w:ascii="Times New Roman" w:hAnsi="Times New Roman"/>
          <w:b/>
          <w:sz w:val="21"/>
        </w:rPr>
        <w:t xml:space="preserve">País de constitución de la entidad: </w:t>
      </w:r>
      <w:r>
        <w:rPr>
          <w:rFonts w:ascii="Times New Roman" w:hAnsi="Times New Roman"/>
          <w:sz w:val="21"/>
        </w:rPr>
        <w:t>[PAÍS — debe ser un Estado miembro de la UE/EEE]</w:t>
      </w:r>
    </w:p>
    <w:p/>
    <w:p>
      <w:pPr>
        <w:spacing w:before="200" w:after="80"/>
      </w:pPr>
      <w:r>
        <w:rPr>
          <w:rFonts w:ascii="Calibri" w:hAnsi="Calibri"/>
          <w:b/>
          <w:sz w:val="22"/>
        </w:rPr>
        <w:t>1. SOBERANÍA TECNOLÓGICA EUROPEA (T1-T2)</w:t>
      </w:r>
    </w:p>
    <w:p>
      <w:pPr>
        <w:spacing w:before="0" w:after="120"/>
      </w:pPr>
      <w:r>
        <w:rPr>
          <w:rFonts w:ascii="Calibri" w:hAnsi="Calibri"/>
          <w:b/>
          <w:i/>
          <w:color w:val="1F5C99"/>
          <w:sz w:val="19"/>
        </w:rPr>
        <w:t>[Exigido — sin puntuación independiente; su incumplimiento causa la exclusión de la oferta]</w:t>
      </w:r>
    </w:p>
    <w:p>
      <w:pPr>
        <w:spacing w:before="40" w:after="80"/>
      </w:pPr>
      <w:r>
        <w:rPr>
          <w:rFonts w:ascii="Times New Roman" w:hAnsi="Times New Roman"/>
          <w:sz w:val="21"/>
        </w:rPr>
        <w:t>[Describir la infraestructura de hosting propuesta, acreditando que está basada en software de código abierto y/o tecnología de origen europeo (T1), y que los datos se alojarán exclusivamente en la Unión Europea / EEE, en centros de datos operados por una entidad legalmente domiciliada en la UE (T2). Indicar la ubicación física de los centros de datos y la titularidad/nacionalidad de la entidad operadora.]</w:t>
      </w:r>
    </w:p>
    <w:p>
      <w:pPr>
        <w:spacing w:before="40" w:after="80"/>
        <w:ind w:left="170"/>
      </w:pPr>
      <w:r>
        <w:rPr>
          <w:rFonts w:ascii="Times New Roman" w:hAnsi="Times New Roman"/>
          <w:i/>
          <w:color w:val="707070"/>
          <w:sz w:val="19"/>
        </w:rPr>
        <w:t>▸ El licitador declara asimismo conocer y aceptar la cláusula 6.3 del Pliego (cambio de control y soberanía continuada): si la entidad adjudicataria es adquirida por una organización no perteneciente a la UE, la Asociación podrá exigir la extinción inmediata del contrato.</w:t>
      </w:r>
    </w:p>
    <w:p>
      <w:pPr>
        <w:spacing w:before="200" w:after="80"/>
      </w:pPr>
      <w:r>
        <w:rPr>
          <w:rFonts w:ascii="Calibri" w:hAnsi="Calibri"/>
          <w:b/>
          <w:sz w:val="22"/>
        </w:rPr>
        <w:t>2. ARQUITECTURA TÉCNICA: HOSTING DE APLICACIONES Y COMPATIBILIDAD WORDPRESS (T3-T6)</w:t>
      </w:r>
    </w:p>
    <w:p>
      <w:pPr>
        <w:spacing w:before="0" w:after="120"/>
      </w:pPr>
      <w:r>
        <w:rPr>
          <w:rFonts w:ascii="Calibri" w:hAnsi="Calibri"/>
          <w:b/>
          <w:i/>
          <w:color w:val="1F5C99"/>
          <w:sz w:val="19"/>
        </w:rPr>
        <w:t>[Contribuye a: Capacidad de alojamiento de aplicaciones · 10 pts]</w:t>
      </w:r>
    </w:p>
    <w:p>
      <w:pPr>
        <w:spacing w:before="40" w:after="80"/>
      </w:pPr>
      <w:r>
        <w:rPr>
          <w:rFonts w:ascii="Times New Roman" w:hAnsi="Times New Roman"/>
          <w:sz w:val="21"/>
        </w:rPr>
        <w:t>[Describir el mecanismo de despliegue de aplicaciones adicionales que presten servicios a los usuarios del sitio (p. ej. desarrolladas en Python — Flask/Django/FastAPI): soporte de contenedores (Docker) u otro estándar equivalente, acceso SSH y/o API, disponibilidad de bases de datos adicionales bajo demanda (T3), entornos de staging y producción separados (T4), gestión de certificados SSL/TLS (T5), y versiones de PHP y MySQL/MariaDB soportadas para la migración inicial de WordPress (T6).]</w:t>
      </w:r>
    </w:p>
    <w:p>
      <w:pPr>
        <w:spacing w:before="200" w:after="80"/>
      </w:pPr>
      <w:r>
        <w:rPr>
          <w:rFonts w:ascii="Calibri" w:hAnsi="Calibri"/>
          <w:b/>
          <w:sz w:val="22"/>
        </w:rPr>
        <w:t>3. CIBERSEGURIDAD</w:t>
      </w:r>
    </w:p>
    <w:p>
      <w:pPr>
        <w:spacing w:before="0" w:after="120"/>
      </w:pPr>
      <w:r>
        <w:rPr>
          <w:rFonts w:ascii="Calibri" w:hAnsi="Calibri"/>
          <w:b/>
          <w:i/>
          <w:color w:val="1F5C99"/>
          <w:sz w:val="19"/>
        </w:rPr>
        <w:t>[Contribuye a: Ciberseguridad · 15 pts — la parte obligatoria (3.1) es exigida, sin puntuación]</w:t>
      </w:r>
    </w:p>
    <w:p>
      <w:pPr>
        <w:spacing w:before="40" w:after="80"/>
      </w:pPr>
      <w:r>
        <w:rPr>
          <w:rFonts w:ascii="Times New Roman" w:hAnsi="Times New Roman"/>
          <w:sz w:val="21"/>
        </w:rPr>
        <w:t>[Acreditar el cumplimiento de los requisitos obligatorios (Parte III.1 del Pliego): cumplimiento RGPD/LOPDGDD con contrato de encargado de tratamiento, cifrado en tránsito y en reposo, copias de seguridad diarias con prueba de restauración, notificación de incidentes ≤72h, y autenticación multifactor (MFA) para el acceso administrativo.]</w:t>
      </w:r>
    </w:p>
    <w:p>
      <w:pPr>
        <w:spacing w:before="40" w:after="80"/>
      </w:pPr>
      <w:r>
        <w:rPr>
          <w:rFonts w:ascii="Times New Roman" w:hAnsi="Times New Roman"/>
          <w:sz w:val="21"/>
        </w:rPr>
        <w:t>[Describir, para su valoración, los elementos adicionales del apartado III.2: certificación ISO/IEC 27001 o equivalente, adhesión al ENS, auditorías de seguridad / test de intrusión periódicos, y protección anti-DDoS y WAF incluidas en el servicio. Adjuntar acreditación documental de las certificaciones alegadas.]</w:t>
      </w:r>
    </w:p>
    <w:p>
      <w:pPr>
        <w:spacing w:before="200" w:after="80"/>
      </w:pPr>
      <w:r>
        <w:rPr>
          <w:rFonts w:ascii="Calibri" w:hAnsi="Calibri"/>
          <w:b/>
          <w:sz w:val="22"/>
        </w:rPr>
        <w:t>4. PLAN DE MIGRACIÓN Y CONTINUIDAD SEO</w:t>
      </w:r>
    </w:p>
    <w:p>
      <w:pPr>
        <w:spacing w:before="0" w:after="120"/>
      </w:pPr>
      <w:r>
        <w:rPr>
          <w:rFonts w:ascii="Calibri" w:hAnsi="Calibri"/>
          <w:b/>
          <w:i/>
          <w:color w:val="1F5C99"/>
          <w:sz w:val="19"/>
        </w:rPr>
        <w:t>[Contribuye a: Migración y continuidad SEO · 10 pts]</w:t>
      </w:r>
    </w:p>
    <w:p>
      <w:pPr>
        <w:spacing w:before="40" w:after="80"/>
      </w:pPr>
      <w:r>
        <w:rPr>
          <w:rFonts w:ascii="Times New Roman" w:hAnsi="Times New Roman"/>
          <w:sz w:val="21"/>
        </w:rPr>
        <w:t>[Describir la metodología de migración del sitio actual (www.gaiax-spain.com, WordPress) a la nueva plataforma: proceso de traslado de contenidos sin pérdida de información, preservación del posicionamiento SEO existente (mantenimiento de URLs indexadas, metadatos, redirecciones 301 donde proceda, sitemap y correcta indexación), ventana de corte/mantenimiento prevista, y plan de verificación posterior a la migración (comprobación de enlaces rotos, indexación en buscadores, tiempos de carga).]</w:t>
      </w:r>
    </w:p>
    <w:p>
      <w:pPr>
        <w:spacing w:before="200" w:after="80"/>
      </w:pPr>
      <w:r>
        <w:rPr>
          <w:rFonts w:ascii="Calibri" w:hAnsi="Calibri"/>
          <w:b/>
          <w:sz w:val="22"/>
        </w:rPr>
        <w:t>5. INTEGRACIÓN CON REDES SOCIALES (TWITTER/X, LINKEDIN)</w:t>
      </w:r>
    </w:p>
    <w:p>
      <w:pPr>
        <w:spacing w:before="0" w:after="120"/>
      </w:pPr>
      <w:r>
        <w:rPr>
          <w:rFonts w:ascii="Calibri" w:hAnsi="Calibri"/>
          <w:b/>
          <w:i/>
          <w:color w:val="1F5C99"/>
          <w:sz w:val="19"/>
        </w:rPr>
        <w:t>[Contribuye a: Integración redes sociales · 5 pts]</w:t>
      </w:r>
    </w:p>
    <w:p>
      <w:pPr>
        <w:spacing w:before="40" w:after="80"/>
      </w:pPr>
      <w:r>
        <w:rPr>
          <w:rFonts w:ascii="Times New Roman" w:hAnsi="Times New Roman"/>
          <w:sz w:val="21"/>
        </w:rPr>
        <w:t>[Describir la propuesta de integración del sitio con los perfiles institucionales de GAIA-X España en Twitter/X y LinkedIn: por ejemplo, widgets o feeds embebidos, botones de compartición, sincronización de publicaciones, u otras soluciones equivalentes, indicando su compatibilidad con los requisitos de soberanía y rendimiento del sitio.]</w:t>
      </w:r>
    </w:p>
    <w:p>
      <w:pPr>
        <w:spacing w:before="200" w:after="80"/>
      </w:pPr>
      <w:r>
        <w:rPr>
          <w:rFonts w:ascii="Calibri" w:hAnsi="Calibri"/>
          <w:b/>
          <w:sz w:val="22"/>
        </w:rPr>
        <w:t>6. SOPORTE TÉCNICO Y COMPROMISOS DE SERVICIO (SLA)</w:t>
      </w:r>
    </w:p>
    <w:p>
      <w:pPr>
        <w:spacing w:before="0" w:after="120"/>
      </w:pPr>
      <w:r>
        <w:rPr>
          <w:rFonts w:ascii="Calibri" w:hAnsi="Calibri"/>
          <w:b/>
          <w:i/>
          <w:color w:val="1F5C99"/>
          <w:sz w:val="19"/>
        </w:rPr>
        <w:t>[Contribuye a: Soporte técnico · 10 pts]</w:t>
      </w:r>
    </w:p>
    <w:p>
      <w:pPr>
        <w:spacing w:before="40" w:after="80"/>
      </w:pPr>
      <w:r>
        <w:rPr>
          <w:rFonts w:ascii="Times New Roman" w:hAnsi="Times New Roman"/>
          <w:sz w:val="21"/>
        </w:rPr>
        <w:t>[Describir el modelo de soporte y mantenimiento durante la vigencia del contrato: canal de atención, horario de cobertura, tiempos de respuesta y resolución comprometidos por nivel de incidencia, proceso de aplicación de actualizaciones de seguridad, y monitorización de disponibilidad (uptime) del servicio.]</w:t>
      </w:r>
    </w:p>
    <w:p>
      <w:pPr>
        <w:spacing w:before="200" w:after="80"/>
      </w:pPr>
      <w:r>
        <w:rPr>
          <w:rFonts w:ascii="Calibri" w:hAnsi="Calibri"/>
          <w:b/>
          <w:sz w:val="22"/>
        </w:rPr>
        <w:t>7. OTRAS MEJORAS PROPUESTAS</w:t>
      </w:r>
    </w:p>
    <w:p>
      <w:pPr>
        <w:spacing w:before="0" w:after="120"/>
      </w:pPr>
      <w:r>
        <w:rPr>
          <w:rFonts w:ascii="Calibri" w:hAnsi="Calibri"/>
          <w:b/>
          <w:i/>
          <w:color w:val="1F5C99"/>
          <w:sz w:val="19"/>
        </w:rPr>
        <w:t>[Contribuye a: Otras mejoras · 10 pts]</w:t>
      </w:r>
    </w:p>
    <w:p>
      <w:pPr>
        <w:spacing w:before="40" w:after="80"/>
      </w:pPr>
      <w:r>
        <w:rPr>
          <w:rFonts w:ascii="Times New Roman" w:hAnsi="Times New Roman"/>
          <w:sz w:val="21"/>
        </w:rPr>
        <w:t>[Describir libremente cualquier propuesta de valor añadido no exigida como requisito mínimo en el Pliego (por ejemplo, optimizaciones de rendimiento, accesibilidad, herramientas adicionales de analítica, u otras funcionalidades complementarias que el licitador considere relevantes para GAIA-X España). Este apartado es opcional; su ausencia no penaliza el resto de la oferta.]</w:t>
      </w:r>
    </w:p>
    <w:p>
      <w:pPr>
        <w:spacing w:before="200" w:after="80"/>
      </w:pPr>
      <w:r>
        <w:rPr>
          <w:rFonts w:ascii="Calibri" w:hAnsi="Calibri"/>
          <w:b/>
          <w:sz w:val="22"/>
        </w:rPr>
        <w:t>8. BOLSA DE HORAS DE SOPORTE (50H): METODOLOGÍA DE GESTIÓN</w:t>
      </w:r>
    </w:p>
    <w:p>
      <w:pPr>
        <w:spacing w:before="0" w:after="120"/>
      </w:pPr>
      <w:r>
        <w:rPr>
          <w:rFonts w:ascii="Calibri" w:hAnsi="Calibri"/>
          <w:b/>
          <w:i/>
          <w:color w:val="1F5C99"/>
          <w:sz w:val="19"/>
        </w:rPr>
        <w:t>[Exigido — sin puntuación independiente]</w:t>
      </w:r>
    </w:p>
    <w:p>
      <w:pPr>
        <w:spacing w:before="40" w:after="80"/>
      </w:pPr>
      <w:r>
        <w:rPr>
          <w:rFonts w:ascii="Times New Roman" w:hAnsi="Times New Roman"/>
          <w:sz w:val="21"/>
        </w:rPr>
        <w:t>[Describir el proceso propuesto para la gestión de la bolsa de 50 horas de soporte destinada al diseño de nuevas secciones del sitio y a la integración con fuentes de datos del ecosistema GAIA-X España (Parte I del Pliego): canal y procedimiento de solicitud, plazo de estimación/aceptación de cada petición, y forma de registro y reporte del consumo de horas (necesario para la facturación mensual variable, Parte IV). El precio por hora de esta bolsa debe indicarse únicamente en la oferta económica (Archivo C.1), no en este documento.]</w:t>
      </w:r>
    </w:p>
    <w:p>
      <w:pPr>
        <w:spacing w:before="40" w:after="80"/>
        <w:ind w:left="170"/>
      </w:pPr>
      <w:r>
        <w:rPr>
          <w:rFonts w:ascii="Times New Roman" w:hAnsi="Times New Roman"/>
          <w:i/>
          <w:color w:val="707070"/>
          <w:sz w:val="19"/>
        </w:rPr>
        <w:t>▸ A título orientativo, ejemplos de uso de la bolsa: un showroom de productos y servicios de las entidades socias, o una sección de información sobre licitaciones y oportunidades de proyecto para los socios. No se exige comprometer aquí un diseño cerrado de estos ejemplos, sino el proceso de trabajo propuesto.</w:t>
      </w:r>
    </w:p>
    <w:p>
      <w:pPr>
        <w:spacing w:before="200" w:after="80"/>
      </w:pPr>
      <w:r>
        <w:rPr>
          <w:rFonts w:ascii="Calibri" w:hAnsi="Calibri"/>
          <w:b/>
          <w:sz w:val="22"/>
        </w:rPr>
        <w:t>9. CRONOGRAMA DE EJECUCIÓN</w:t>
      </w:r>
    </w:p>
    <w:p>
      <w:pPr>
        <w:spacing w:before="0" w:after="120"/>
      </w:pPr>
      <w:r>
        <w:rPr>
          <w:rFonts w:ascii="Calibri" w:hAnsi="Calibri"/>
          <w:b/>
          <w:i/>
          <w:color w:val="1F5C99"/>
          <w:sz w:val="19"/>
        </w:rPr>
        <w:t>[Exigido — sin puntuación independiente]</w:t>
      </w:r>
    </w:p>
    <w:tbl>
      <w:tblPr>
        <w:tblStyle w:val="TableGrid"/>
        <w:tblW w:type="auto" w:w="0"/>
        <w:jc w:val="left"/>
        <w:tblLook w:firstColumn="1" w:firstRow="1" w:lastColumn="0" w:lastRow="0" w:noHBand="0" w:noVBand="1" w:val="04A0"/>
      </w:tblPr>
      <w:tblGrid>
        <w:gridCol w:w="4561"/>
        <w:gridCol w:w="4561"/>
      </w:tblGrid>
      <w:tr>
        <w:tc>
          <w:tcPr>
            <w:tcW w:type="dxa" w:w="6803"/>
            <w:shd w:val="clear" w:color="auto" w:fill="1F5C99"/>
            <w:vAlign w:val="center"/>
          </w:tcPr>
          <w:p>
            <w:r>
              <w:rPr>
                <w:rFonts w:ascii="Calibri" w:hAnsi="Calibri"/>
                <w:b/>
                <w:color w:val="FFFFFF"/>
                <w:sz w:val="20"/>
              </w:rPr>
              <w:t>Hito / Entregable</w:t>
            </w:r>
          </w:p>
        </w:tc>
        <w:tc>
          <w:tcPr>
            <w:tcW w:type="dxa" w:w="2268"/>
            <w:shd w:val="clear" w:color="auto" w:fill="1F5C99"/>
            <w:vAlign w:val="center"/>
          </w:tcPr>
          <w:p>
            <w:r>
              <w:rPr>
                <w:rFonts w:ascii="Calibri" w:hAnsi="Calibri"/>
                <w:b/>
                <w:color w:val="FFFFFF"/>
                <w:sz w:val="20"/>
              </w:rPr>
              <w:t>Semana prevista</w:t>
            </w:r>
          </w:p>
        </w:tc>
      </w:tr>
      <w:tr>
        <w:trPr>
          <w:trHeight w:val="793" w:hRule="atLeast"/>
        </w:trPr>
        <w:tc>
          <w:tcPr>
            <w:tcW w:type="dxa" w:w="6803"/>
            <w:shd w:val="clear" w:color="auto" w:fill="F2F2F2"/>
          </w:tcPr>
          <w:p/>
        </w:tc>
        <w:tc>
          <w:tcPr>
            <w:tcW w:type="dxa" w:w="2268"/>
            <w:shd w:val="clear" w:color="auto" w:fill="F2F2F2"/>
          </w:tcPr>
          <w:p/>
        </w:tc>
      </w:tr>
      <w:tr>
        <w:trPr>
          <w:trHeight w:val="793" w:hRule="atLeast"/>
        </w:trPr>
        <w:tc>
          <w:tcPr>
            <w:tcW w:type="dxa" w:w="6803"/>
            <w:shd w:val="clear" w:color="auto" w:fill="FFFFFF"/>
          </w:tcPr>
          <w:p/>
        </w:tc>
        <w:tc>
          <w:tcPr>
            <w:tcW w:type="dxa" w:w="2268"/>
            <w:shd w:val="clear" w:color="auto" w:fill="FFFFFF"/>
          </w:tcPr>
          <w:p/>
        </w:tc>
      </w:tr>
      <w:tr>
        <w:trPr>
          <w:trHeight w:val="793" w:hRule="atLeast"/>
        </w:trPr>
        <w:tc>
          <w:tcPr>
            <w:tcW w:type="dxa" w:w="6803"/>
            <w:shd w:val="clear" w:color="auto" w:fill="F2F2F2"/>
          </w:tcPr>
          <w:p/>
        </w:tc>
        <w:tc>
          <w:tcPr>
            <w:tcW w:type="dxa" w:w="2268"/>
            <w:shd w:val="clear" w:color="auto" w:fill="F2F2F2"/>
          </w:tcPr>
          <w:p/>
        </w:tc>
      </w:tr>
      <w:tr>
        <w:trPr>
          <w:trHeight w:val="793" w:hRule="atLeast"/>
        </w:trPr>
        <w:tc>
          <w:tcPr>
            <w:tcW w:type="dxa" w:w="6803"/>
            <w:shd w:val="clear" w:color="auto" w:fill="FFFFFF"/>
          </w:tcPr>
          <w:p/>
        </w:tc>
        <w:tc>
          <w:tcPr>
            <w:tcW w:type="dxa" w:w="2268"/>
            <w:shd w:val="clear" w:color="auto" w:fill="FFFFFF"/>
          </w:tcPr>
          <w:p/>
        </w:tc>
      </w:tr>
      <w:tr>
        <w:trPr>
          <w:trHeight w:val="793" w:hRule="atLeast"/>
        </w:trPr>
        <w:tc>
          <w:tcPr>
            <w:tcW w:type="dxa" w:w="6803"/>
            <w:shd w:val="clear" w:color="auto" w:fill="F2F2F2"/>
          </w:tcPr>
          <w:p/>
        </w:tc>
        <w:tc>
          <w:tcPr>
            <w:tcW w:type="dxa" w:w="2268"/>
            <w:shd w:val="clear" w:color="auto" w:fill="F2F2F2"/>
          </w:tcPr>
          <w:p/>
        </w:tc>
      </w:tr>
    </w:tbl>
    <w:p/>
    <w:p>
      <w:pPr>
        <w:spacing w:before="40" w:after="80"/>
        <w:ind w:left="170"/>
      </w:pPr>
      <w:r>
        <w:rPr>
          <w:rFonts w:ascii="Times New Roman" w:hAnsi="Times New Roman"/>
          <w:i/>
          <w:color w:val="707070"/>
          <w:sz w:val="19"/>
        </w:rPr>
        <w:t>▸ Como mínimo debe incluirse: reunión de arranque, migración completa y verificación SEO, puesta en producción, y cierre/aceptación del servicio. El contrato tiene una duración de 1 año, prorrogable.</w:t>
      </w:r>
    </w:p>
    <w:p>
      <w:pPr>
        <w:spacing w:before="200" w:after="80"/>
      </w:pPr>
      <w:r>
        <w:rPr>
          <w:rFonts w:ascii="Calibri" w:hAnsi="Calibri"/>
          <w:b/>
          <w:sz w:val="22"/>
        </w:rPr>
        <w:t>10. COMPROMISOS ADICIONALES (SOBERANÍA CONTINUADA Y GESTIÓN DE COOKIES)</w:t>
      </w:r>
    </w:p>
    <w:p>
      <w:pPr>
        <w:spacing w:before="0" w:after="120"/>
      </w:pPr>
      <w:r>
        <w:rPr>
          <w:rFonts w:ascii="Calibri" w:hAnsi="Calibri"/>
          <w:b/>
          <w:i/>
          <w:color w:val="1F5C99"/>
          <w:sz w:val="19"/>
        </w:rPr>
        <w:t>[Exigido — sin puntuación independiente]</w:t>
      </w:r>
    </w:p>
    <w:p>
      <w:pPr>
        <w:spacing w:before="40" w:after="80"/>
      </w:pPr>
      <w:r>
        <w:rPr>
          <w:rFonts w:ascii="Times New Roman" w:hAnsi="Times New Roman"/>
          <w:sz w:val="21"/>
        </w:rPr>
        <w:t>☐ El licitador declara conocer y aceptar expresamente la cláusula 6.3 del Pliego de Condiciones (cambio de control y soberanía continuada), comprometiéndose a notificar a la Asociación cualquier cambio relevante en su estructura de propiedad o control en un plazo máximo de 15 días desde que se produzca.</w:t>
      </w:r>
    </w:p>
    <w:p>
      <w:pPr>
        <w:spacing w:before="40" w:after="80"/>
      </w:pPr>
      <w:r>
        <w:rPr>
          <w:rFonts w:ascii="Times New Roman" w:hAnsi="Times New Roman"/>
          <w:sz w:val="21"/>
        </w:rPr>
        <w:t>☐ El licitador declara que el sitio incorporará un sistema de gestión del consentimiento de cookies (CMP) conforme al requisito T7 (Parte II) y al artículo 22.2 de la LSSI-CE, y se compromete a elaborar la política de cookies del sitio y a mantener dicho sistema durante toda la vigencia del contrato (Parte VII).</w:t>
      </w:r>
    </w:p>
    <w:p>
      <w:pPr>
        <w:spacing w:before="200" w:after="80"/>
      </w:pPr>
      <w:r>
        <w:rPr>
          <w:rFonts w:ascii="Calibri" w:hAnsi="Calibri"/>
          <w:b/>
          <w:sz w:val="22"/>
        </w:rPr>
        <w:t>11. LISTADO DE DOCUMENTOS ADJUNTOS AL ARCHIVO B</w:t>
      </w:r>
    </w:p>
    <w:p>
      <w:pPr>
        <w:spacing w:before="40" w:after="80"/>
      </w:pPr>
      <w:r>
        <w:rPr>
          <w:rFonts w:ascii="Times New Roman" w:hAnsi="Times New Roman"/>
          <w:sz w:val="21"/>
        </w:rPr>
        <w:t>☐ B.1 — Propuesta Técnica (el presente documento, cumplimentado)</w:t>
      </w:r>
    </w:p>
    <w:p>
      <w:pPr>
        <w:spacing w:before="40" w:after="80"/>
      </w:pPr>
      <w:r>
        <w:rPr>
          <w:rFonts w:ascii="Times New Roman" w:hAnsi="Times New Roman"/>
          <w:sz w:val="21"/>
        </w:rPr>
        <w:t>☐ B.4 — Documento de Confidencialidad (opcional)</w:t>
      </w:r>
    </w:p>
    <w:p>
      <w:pPr>
        <w:spacing w:before="40" w:after="80"/>
      </w:pPr>
      <w:r>
        <w:rPr>
          <w:rFonts w:ascii="Times New Roman" w:hAnsi="Times New Roman"/>
          <w:sz w:val="21"/>
        </w:rPr>
        <w:t>☐ Acreditación documental de las certificaciones alegadas en el apartado 3 (ISO 27001, ENS u otras)</w:t>
      </w:r>
    </w:p>
    <w:p/>
    <w:p>
      <w:pPr>
        <w:spacing w:before="200" w:after="80"/>
      </w:pPr>
      <w:r>
        <w:rPr>
          <w:rFonts w:ascii="Calibri" w:hAnsi="Calibri"/>
          <w:b/>
          <w:sz w:val="22"/>
        </w:rPr>
        <w:t>FIRMA DEL REPRESENTANTE LEGAL</w:t>
      </w:r>
    </w:p>
    <w:p>
      <w:pPr>
        <w:spacing w:before="40" w:after="60"/>
      </w:pPr>
      <w:r>
        <w:rPr>
          <w:rFonts w:ascii="Times New Roman" w:hAnsi="Times New Roman"/>
          <w:b/>
          <w:sz w:val="21"/>
        </w:rPr>
        <w:t xml:space="preserve">Nombre y apellidos: </w:t>
      </w:r>
      <w:r>
        <w:rPr>
          <w:rFonts w:ascii="Times New Roman" w:hAnsi="Times New Roman"/>
          <w:sz w:val="21"/>
        </w:rPr>
        <w:t>[NOMBRE Y APELLIDOS DEL FIRMANTE]</w:t>
      </w:r>
    </w:p>
    <w:p>
      <w:pPr>
        <w:spacing w:before="40" w:after="60"/>
      </w:pPr>
      <w:r>
        <w:rPr>
          <w:rFonts w:ascii="Times New Roman" w:hAnsi="Times New Roman"/>
          <w:b/>
          <w:sz w:val="21"/>
        </w:rPr>
        <w:t xml:space="preserve">Cargo: </w:t>
      </w:r>
      <w:r>
        <w:rPr>
          <w:rFonts w:ascii="Times New Roman" w:hAnsi="Times New Roman"/>
          <w:sz w:val="21"/>
        </w:rPr>
        <w:t>[CARGO EN LA EMPRESA]</w:t>
      </w:r>
    </w:p>
    <w:p>
      <w:pPr>
        <w:spacing w:before="40" w:after="60"/>
      </w:pPr>
      <w:r>
        <w:rPr>
          <w:rFonts w:ascii="Times New Roman" w:hAnsi="Times New Roman"/>
          <w:b/>
          <w:sz w:val="21"/>
        </w:rPr>
        <w:t xml:space="preserve">En nombre de: </w:t>
      </w:r>
      <w:r>
        <w:rPr>
          <w:rFonts w:ascii="Times New Roman" w:hAnsi="Times New Roman"/>
          <w:sz w:val="21"/>
        </w:rPr>
        <w:t>[RAZÓN SOCIAL DE LA EMPRESA]</w:t>
      </w:r>
    </w:p>
    <w:p>
      <w:pPr>
        <w:spacing w:before="40" w:after="60"/>
      </w:pPr>
      <w:r>
        <w:rPr>
          <w:rFonts w:ascii="Times New Roman" w:hAnsi="Times New Roman"/>
          <w:b/>
          <w:sz w:val="21"/>
        </w:rPr>
        <w:t xml:space="preserve">CIF de la empresa: </w:t>
      </w:r>
      <w:r>
        <w:rPr>
          <w:rFonts w:ascii="Times New Roman" w:hAnsi="Times New Roman"/>
          <w:sz w:val="21"/>
        </w:rPr>
        <w:t>[CIF]</w:t>
      </w:r>
    </w:p>
    <w:p>
      <w:pPr>
        <w:spacing w:before="40" w:after="60"/>
      </w:pPr>
      <w:r>
        <w:rPr>
          <w:rFonts w:ascii="Times New Roman" w:hAnsi="Times New Roman"/>
          <w:b/>
          <w:sz w:val="21"/>
        </w:rPr>
        <w:t xml:space="preserve">Lugar y fecha: </w:t>
      </w:r>
      <w:r>
        <w:rPr>
          <w:rFonts w:ascii="Times New Roman" w:hAnsi="Times New Roman"/>
          <w:sz w:val="21"/>
        </w:rPr>
        <w:t>[CIUDAD], a [DÍA] de [MES] de 2026</w:t>
      </w:r>
    </w:p>
    <w:p/>
    <w:p>
      <w:pPr>
        <w:spacing w:before="40" w:after="80"/>
      </w:pPr>
      <w:r>
        <w:rPr>
          <w:rFonts w:ascii="Times New Roman" w:hAnsi="Times New Roman"/>
          <w:sz w:val="21"/>
        </w:rPr>
        <w:t>Firma y sello de la entidad:</w:t>
      </w:r>
    </w:p>
    <w:p/>
    <w:p/>
    <w:p>
      <w:pPr>
        <w:spacing w:before="40" w:after="80"/>
      </w:pPr>
      <w:r>
        <w:rPr>
          <w:rFonts w:ascii="Times New Roman" w:hAnsi="Times New Roman"/>
          <w:sz w:val="21"/>
        </w:rPr>
        <w:t>____________________________________________</w:t>
      </w:r>
    </w:p>
    <w:p>
      <w:pPr>
        <w:pBdr>
          <w:bottom w:val="single" w:sz="6" w:space="1" w:color="CCCCCC"/>
        </w:pBdr>
      </w:pPr>
    </w:p>
    <w:p>
      <w:pPr>
        <w:spacing w:before="40" w:after="80"/>
        <w:ind w:left="170"/>
      </w:pPr>
      <w:r>
        <w:rPr>
          <w:rFonts w:ascii="Times New Roman" w:hAnsi="Times New Roman"/>
          <w:i/>
          <w:color w:val="707070"/>
          <w:sz w:val="19"/>
        </w:rPr>
        <w:t>▸ Expediente: GAIX-ESP-2026-005 · Gaia-X España · Plazo de presentación: 15 días naturales desde la publicación del pliego (fecha exacta a confirmar)</w:t>
      </w:r>
    </w:p>
    <w:sectPr w:rsidR="00FC693F" w:rsidRPr="0006063C"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