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0" w:after="80"/>
        <w:jc w:val="left"/>
        <w:rPr/>
      </w:pPr>
      <w:r>
        <w:rPr>
          <w:rFonts w:ascii="Calibri" w:hAnsi="Calibri"/>
          <w:b/>
          <w:color w:val="1F5C99"/>
          <w:sz w:val="28"/>
        </w:rPr>
        <w:t>PROPUESTA TÉCNICA Y ACREDITACIÓN DE SOLVENCIA</w:t>
      </w:r>
    </w:p>
    <w:p>
      <w:pPr>
        <w:pStyle w:val="Normal"/>
        <w:spacing w:before="0" w:after="40"/>
        <w:rPr/>
      </w:pPr>
      <w:r>
        <w:rPr>
          <w:rFonts w:ascii="Calibri" w:hAnsi="Calibri"/>
          <w:color w:val="1F5C99"/>
          <w:sz w:val="22"/>
        </w:rPr>
        <w:t>Archivo B – Documentación Técnica (B.1)</w:t>
      </w:r>
    </w:p>
    <w:p>
      <w:pPr>
        <w:pStyle w:val="Normal"/>
        <w:pBdr>
          <w:bottom w:val="single" w:sz="6" w:space="1" w:color="2E74B5"/>
        </w:pBdr>
        <w:rPr/>
      </w:pPr>
      <w:r>
        <w:rPr/>
      </w:r>
    </w:p>
    <w:p>
      <w:pPr>
        <w:pStyle w:val="Normal"/>
        <w:rPr/>
      </w:pPr>
      <w:r>
        <w:rPr/>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56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56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Referencia del expediente</w:t>
            </w:r>
          </w:p>
        </w:tc>
        <w:tc>
          <w:tcPr>
            <w:tcW w:w="456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GAIX-ESP-2026-004</w:t>
            </w:r>
          </w:p>
        </w:tc>
      </w:tr>
      <w:tr>
        <w:trPr/>
        <w:tc>
          <w:tcPr>
            <w:tcW w:w="456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Entidad convocante</w:t>
            </w:r>
          </w:p>
        </w:tc>
        <w:tc>
          <w:tcPr>
            <w:tcW w:w="456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Asociación Gaia-X España (CIF: G72514771)</w:t>
            </w:r>
          </w:p>
        </w:tc>
      </w:tr>
      <w:tr>
        <w:trPr/>
        <w:tc>
          <w:tcPr>
            <w:tcW w:w="456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Objeto de la licitación</w:t>
            </w:r>
          </w:p>
        </w:tc>
        <w:tc>
          <w:tcPr>
            <w:tcW w:w="456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Estudio de necesidades de formación y capacitación en competencias para la economía del dato en España</w:t>
            </w:r>
          </w:p>
        </w:tc>
      </w:tr>
      <w:tr>
        <w:trPr/>
        <w:tc>
          <w:tcPr>
            <w:tcW w:w="456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Presupuesto máximo (IVA excl.)</w:t>
            </w:r>
          </w:p>
        </w:tc>
        <w:tc>
          <w:tcPr>
            <w:tcW w:w="456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28.926,00 € (IVA excluido)</w:t>
            </w:r>
          </w:p>
        </w:tc>
      </w:tr>
      <w:tr>
        <w:trPr/>
        <w:tc>
          <w:tcPr>
            <w:tcW w:w="456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Plazo de presentación</w:t>
            </w:r>
          </w:p>
        </w:tc>
        <w:tc>
          <w:tcPr>
            <w:tcW w:w="456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28 de agosto de 2026</w:t>
            </w:r>
          </w:p>
        </w:tc>
      </w:tr>
      <w:tr>
        <w:trPr/>
        <w:tc>
          <w:tcPr>
            <w:tcW w:w="456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Canal de envío</w:t>
            </w:r>
          </w:p>
        </w:tc>
        <w:tc>
          <w:tcPr>
            <w:tcW w:w="456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susana.estables@gaiax-spain.com</w:t>
            </w:r>
          </w:p>
        </w:tc>
      </w:tr>
      <w:tr>
        <w:trPr/>
        <w:tc>
          <w:tcPr>
            <w:tcW w:w="456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Asunto del correo</w:t>
            </w:r>
          </w:p>
        </w:tc>
        <w:tc>
          <w:tcPr>
            <w:tcW w:w="456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Oferta Estudio Necesidades Formación Economía del Dato – [Nombre del Licitador]</w:t>
            </w:r>
          </w:p>
        </w:tc>
      </w:tr>
    </w:tbl>
    <w:p>
      <w:pPr>
        <w:pStyle w:val="Normal"/>
        <w:rPr/>
      </w:pPr>
      <w:r>
        <w:rPr/>
      </w:r>
    </w:p>
    <w:p>
      <w:pPr>
        <w:pStyle w:val="Normal"/>
        <w:spacing w:before="40" w:after="80"/>
        <w:rPr/>
      </w:pPr>
      <w:r>
        <w:rPr>
          <w:rFonts w:ascii="Times New Roman" w:hAnsi="Times New Roman"/>
          <w:sz w:val="21"/>
        </w:rPr>
        <w:t>El presente documento constituye la plantilla del Archivo B.1 (Propuesta Técnica). El licitador deberá cumplimentar todas las secciones marcadas y eliminar las instrucciones en cursiva antes de presentar su oferta. Los Archivos A, B y C deben enviarse como documentos independientes, sin mezclar contenido entre ellos.</w:t>
      </w:r>
    </w:p>
    <w:p>
      <w:pPr>
        <w:pStyle w:val="Normal"/>
        <w:spacing w:before="40" w:after="80"/>
        <w:rPr/>
      </w:pPr>
      <w:r>
        <w:rPr>
          <w:rFonts w:ascii="Times New Roman" w:hAnsi="Times New Roman"/>
          <w:b/>
          <w:color w:val="C55A11"/>
          <w:sz w:val="20"/>
        </w:rPr>
        <w:t xml:space="preserve">⚠  </w:t>
      </w:r>
      <w:r>
        <w:rPr>
          <w:rFonts w:ascii="Times New Roman" w:hAnsi="Times New Roman"/>
          <w:b/>
          <w:color w:val="C55A11"/>
          <w:sz w:val="20"/>
        </w:rPr>
        <w:t>REQUISITO MÍNIMO DE EXCLUSIÓN: el licitador deberá acreditar la ejecución de, al menos, 3 proyectos relacionados con el diagnóstico de necesidades formativas, la formación de competencias o la gestión del talento, en los últimos 4 años; y al menos 1 proyecto relacionado con la economía del dato, los espacios de datos o la compartición de datos, en los últimos 4 años.  El incumplimiento de este requisito supone la exclusión automática de la licitación.</w:t>
      </w:r>
    </w:p>
    <w:p>
      <w:pPr>
        <w:pStyle w:val="Normal"/>
        <w:spacing w:before="200" w:after="80"/>
        <w:rPr/>
      </w:pPr>
      <w:r>
        <w:rPr>
          <w:rFonts w:ascii="Calibri" w:hAnsi="Calibri"/>
          <w:b/>
          <w:sz w:val="22"/>
        </w:rPr>
        <w:t>ÍNDICE</w:t>
      </w:r>
    </w:p>
    <w:tbl>
      <w:tblPr>
        <w:tblStyle w:val="TableGrid"/>
        <w:tblW w:w="91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041"/>
        <w:gridCol w:w="3041"/>
        <w:gridCol w:w="3041"/>
      </w:tblGrid>
      <w:tr>
        <w:trPr/>
        <w:tc>
          <w:tcPr>
            <w:tcW w:w="3041"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w:t>
            </w:r>
          </w:p>
        </w:tc>
        <w:tc>
          <w:tcPr>
            <w:tcW w:w="3041"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Apartado</w:t>
            </w:r>
          </w:p>
        </w:tc>
        <w:tc>
          <w:tcPr>
            <w:tcW w:w="3041"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Criterio de valoración asociado</w:t>
            </w:r>
          </w:p>
        </w:tc>
      </w:tr>
      <w:tr>
        <w:trPr/>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0</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Datos del licitador</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1</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Marco de competencias de referencia</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Metodología (35) + Marco de competencias (5)</w:t>
            </w:r>
          </w:p>
        </w:tc>
      </w:tr>
      <w:tr>
        <w:trPr/>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2</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Metodología de inventario de oferta formativa</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Metodología · parte de 35 pts</w:t>
            </w:r>
          </w:p>
        </w:tc>
      </w:tr>
      <w:tr>
        <w:trPr/>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3</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Metodología de diagnóstico de demanda</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Metodología · parte de 35 pts</w:t>
            </w:r>
          </w:p>
        </w:tc>
      </w:tr>
      <w:tr>
        <w:trPr/>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4</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Metodología del mapa de brechas de competencias</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Metodología · parte de 35 pts</w:t>
            </w:r>
          </w:p>
        </w:tc>
      </w:tr>
      <w:tr>
        <w:trPr/>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5</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Plan de consulta al ecosistema y organizaciones adicionales</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 xml:space="preserve">Ampliación consulta ecosistema · </w:t>
            </w:r>
            <w:r>
              <w:rPr>
                <w:rFonts w:eastAsia="ＭＳ 明朝" w:cs="" w:ascii="Times New Roman" w:hAnsi="Times New Roman"/>
                <w:kern w:val="0"/>
                <w:sz w:val="18"/>
                <w:szCs w:val="22"/>
                <w:lang w:val="en-US" w:eastAsia="en-US" w:bidi="ar-SA"/>
              </w:rPr>
              <w:t>4</w:t>
            </w:r>
            <w:r>
              <w:rPr>
                <w:rFonts w:eastAsia="ＭＳ 明朝" w:cs="" w:ascii="Times New Roman" w:hAnsi="Times New Roman"/>
                <w:kern w:val="0"/>
                <w:sz w:val="18"/>
                <w:szCs w:val="22"/>
                <w:lang w:val="en-US" w:eastAsia="en-US" w:bidi="ar-SA"/>
              </w:rPr>
              <w:t xml:space="preserve"> pts (automático)</w:t>
            </w:r>
          </w:p>
        </w:tc>
      </w:tr>
      <w:tr>
        <w:trPr/>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6</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Sectores adicionales propuestos</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Ampliación alcance sectorial · 1</w:t>
            </w:r>
            <w:r>
              <w:rPr>
                <w:rFonts w:eastAsia="ＭＳ 明朝" w:cs="" w:ascii="Times New Roman" w:hAnsi="Times New Roman"/>
                <w:kern w:val="0"/>
                <w:sz w:val="18"/>
                <w:szCs w:val="22"/>
                <w:lang w:val="en-US" w:eastAsia="en-US" w:bidi="ar-SA"/>
              </w:rPr>
              <w:t>2</w:t>
            </w:r>
            <w:r>
              <w:rPr>
                <w:rFonts w:eastAsia="ＭＳ 明朝" w:cs="" w:ascii="Times New Roman" w:hAnsi="Times New Roman"/>
                <w:kern w:val="0"/>
                <w:sz w:val="18"/>
                <w:szCs w:val="22"/>
                <w:lang w:val="en-US" w:eastAsia="en-US" w:bidi="ar-SA"/>
              </w:rPr>
              <w:t xml:space="preserve"> pts (automático)</w:t>
            </w:r>
          </w:p>
        </w:tc>
      </w:tr>
      <w:tr>
        <w:trPr/>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7</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Plan de coordinación (Input Inicial + Revisión del Borrador)</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Metodología · parte de 35 pts</w:t>
            </w:r>
          </w:p>
        </w:tc>
      </w:tr>
      <w:tr>
        <w:trPr/>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8</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Cronograma de ejecución (8 semanas)</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 xml:space="preserve">— </w:t>
            </w:r>
            <w:r>
              <w:rPr>
                <w:rFonts w:eastAsia="ＭＳ 明朝" w:cs="" w:ascii="Times New Roman" w:hAnsi="Times New Roman"/>
                <w:kern w:val="0"/>
                <w:sz w:val="18"/>
                <w:szCs w:val="22"/>
                <w:lang w:val="en-US" w:eastAsia="en-US" w:bidi="ar-SA"/>
              </w:rPr>
              <w:t>(exigido, sin puntuación independiente)</w:t>
            </w:r>
          </w:p>
        </w:tc>
      </w:tr>
      <w:tr>
        <w:trPr/>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9</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Modelo de datos de los contenidos y repositorio final</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Calidad del modelo de datos · 5 pts</w:t>
            </w:r>
          </w:p>
        </w:tc>
      </w:tr>
      <w:tr>
        <w:trPr/>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10</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Acreditación objetiva de experiencia (proyectos)</w:t>
            </w:r>
          </w:p>
        </w:tc>
        <w:tc>
          <w:tcPr>
            <w:tcW w:w="304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Experiencia objetiva · 5 pts (automático) + requisito mínimo de exclusión</w:t>
            </w:r>
          </w:p>
        </w:tc>
      </w:tr>
      <w:tr>
        <w:trPr/>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11</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Listado de documentos adjuntos</w:t>
            </w:r>
          </w:p>
        </w:tc>
        <w:tc>
          <w:tcPr>
            <w:tcW w:w="304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0. DATOS DEL LICITADOR</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 xml:space="preserve">Cumplimente los datos de la entidad licitadora. </w:t>
      </w:r>
    </w:p>
    <w:tbl>
      <w:tblPr>
        <w:tblStyle w:val="TableGrid"/>
        <w:tblW w:w="9122"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4561"/>
        <w:gridCol w:w="4560"/>
      </w:tblGrid>
      <w:tr>
        <w:trPr/>
        <w:tc>
          <w:tcPr>
            <w:tcW w:w="4561"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Campo</w:t>
            </w:r>
          </w:p>
        </w:tc>
        <w:tc>
          <w:tcPr>
            <w:tcW w:w="456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20"/>
                <w:szCs w:val="22"/>
                <w:lang w:val="en-US" w:eastAsia="en-US" w:bidi="ar-SA"/>
              </w:rPr>
              <w:t>Valor</w:t>
            </w:r>
          </w:p>
        </w:tc>
      </w:tr>
      <w:tr>
        <w:trPr/>
        <w:tc>
          <w:tcPr>
            <w:tcW w:w="456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Razón social / Nombre</w:t>
            </w:r>
          </w:p>
        </w:tc>
        <w:tc>
          <w:tcPr>
            <w:tcW w:w="456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[RAZÓN SOCIAL]</w:t>
            </w:r>
          </w:p>
        </w:tc>
      </w:tr>
      <w:tr>
        <w:trPr/>
        <w:tc>
          <w:tcPr>
            <w:tcW w:w="456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CIF / DNI-NIE</w:t>
            </w:r>
          </w:p>
        </w:tc>
        <w:tc>
          <w:tcPr>
            <w:tcW w:w="456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[CIF]</w:t>
            </w:r>
          </w:p>
        </w:tc>
      </w:tr>
      <w:tr>
        <w:trPr/>
        <w:tc>
          <w:tcPr>
            <w:tcW w:w="456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Domicilio social</w:t>
            </w:r>
          </w:p>
        </w:tc>
        <w:tc>
          <w:tcPr>
            <w:tcW w:w="456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[DIRECCIÓN COMPLETA]</w:t>
            </w:r>
          </w:p>
        </w:tc>
      </w:tr>
      <w:tr>
        <w:trPr/>
        <w:tc>
          <w:tcPr>
            <w:tcW w:w="456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Representante legal</w:t>
            </w:r>
          </w:p>
        </w:tc>
        <w:tc>
          <w:tcPr>
            <w:tcW w:w="456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[NOMBRE Y APELLIDOS]</w:t>
            </w:r>
          </w:p>
        </w:tc>
      </w:tr>
      <w:tr>
        <w:trPr/>
        <w:tc>
          <w:tcPr>
            <w:tcW w:w="456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Cargo del representante</w:t>
            </w:r>
          </w:p>
        </w:tc>
        <w:tc>
          <w:tcPr>
            <w:tcW w:w="456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[CARGO]</w:t>
            </w:r>
          </w:p>
        </w:tc>
      </w:tr>
      <w:tr>
        <w:trPr/>
        <w:tc>
          <w:tcPr>
            <w:tcW w:w="456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Persona de contacto para dudas</w:t>
            </w:r>
          </w:p>
        </w:tc>
        <w:tc>
          <w:tcPr>
            <w:tcW w:w="456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[NOMBRE Y APELLIDOS]</w:t>
            </w:r>
          </w:p>
        </w:tc>
      </w:tr>
      <w:tr>
        <w:trPr/>
        <w:tc>
          <w:tcPr>
            <w:tcW w:w="456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Correo electrónico de contacto</w:t>
            </w:r>
          </w:p>
        </w:tc>
        <w:tc>
          <w:tcPr>
            <w:tcW w:w="456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[EMAIL]</w:t>
            </w:r>
          </w:p>
        </w:tc>
      </w:tr>
      <w:tr>
        <w:trPr/>
        <w:tc>
          <w:tcPr>
            <w:tcW w:w="456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Teléfono de contacto</w:t>
            </w:r>
          </w:p>
        </w:tc>
        <w:tc>
          <w:tcPr>
            <w:tcW w:w="456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[TELÉFONO]</w:t>
            </w:r>
          </w:p>
        </w:tc>
      </w:tr>
      <w:tr>
        <w:trPr/>
        <w:tc>
          <w:tcPr>
            <w:tcW w:w="456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¿Es entidad vinculada a Gaia-X España?</w:t>
            </w:r>
          </w:p>
        </w:tc>
        <w:tc>
          <w:tcPr>
            <w:tcW w:w="456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20"/>
                <w:szCs w:val="22"/>
                <w:lang w:val="en-US" w:eastAsia="en-US" w:bidi="ar-SA"/>
              </w:rPr>
              <w:t>[ ] Sí — adjuntar C2_Desglose_Costes_Entidades_Vinculadas   [ ] No</w:t>
            </w:r>
          </w:p>
        </w:tc>
      </w:tr>
    </w:tbl>
    <w:p>
      <w:pPr>
        <w:pStyle w:val="Normal"/>
        <w:rPr/>
      </w:pPr>
      <w:r>
        <w:rPr/>
      </w:r>
    </w:p>
    <w:p>
      <w:pPr>
        <w:pStyle w:val="Normal"/>
        <w:spacing w:before="200" w:after="80"/>
        <w:rPr/>
      </w:pPr>
      <w:r>
        <w:rPr>
          <w:rFonts w:ascii="Calibri" w:hAnsi="Calibri"/>
          <w:b/>
          <w:sz w:val="22"/>
        </w:rPr>
        <w:t>1. MARCO DE COMPETENCIAS DE REFERENCIA</w:t>
      </w:r>
    </w:p>
    <w:p>
      <w:pPr>
        <w:pStyle w:val="Normal"/>
        <w:spacing w:before="0" w:after="120"/>
        <w:rPr/>
      </w:pPr>
      <w:r>
        <w:rPr>
          <w:rFonts w:ascii="Calibri" w:hAnsi="Calibri"/>
          <w:b/>
          <w:i/>
          <w:color w:val="1F5C99"/>
          <w:sz w:val="19"/>
        </w:rPr>
        <w:t>[Contribuye a: Robustez de la metodología · 35 pts  +  Propuesta de estructuración y calidad del marco de competencias · 5 pts]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Proponga y justifique el marco de competencias de la economía del dato que se aplicará al diagnóstico, alineado con marcos de referencia nacionales y/o europeos reconocidos (p. ej. DigComp 2.2, ESCO, DAMA-DMBOK u otro equivalente). No se impone un marco concreto; se valorará la solidez de la justificación y la adaptación del marco elegido a las competencias específicas de la economía del dato (gobernanza del dato, interoperabilidad, espacios de datos, IA aplicada a datos, etc.). Este marco será validado por Gaia-X España en el Entregable 0 antes de su aplicación al resto del estudio.</w:t>
      </w:r>
    </w:p>
    <w:p>
      <w:pPr>
        <w:pStyle w:val="Normal"/>
        <w:rPr/>
      </w:pPr>
      <w:r>
        <w:rPr/>
      </w:r>
    </w:p>
    <w:p>
      <w:pPr>
        <w:pStyle w:val="Normal"/>
        <w:rPr/>
      </w:pPr>
      <w:r>
        <w:rPr/>
      </w:r>
    </w:p>
    <w:p>
      <w:pPr>
        <w:pStyle w:val="Normal"/>
        <w:rPr/>
      </w:pPr>
      <w:r>
        <w:rPr/>
      </w:r>
    </w:p>
    <w:p>
      <w:pPr>
        <w:pStyle w:val="Normal"/>
        <w:rPr/>
      </w:pPr>
      <w:r>
        <w:rPr/>
      </w:r>
    </w:p>
    <w:p>
      <w:pPr>
        <w:pStyle w:val="Normal"/>
        <w:spacing w:before="200" w:after="80"/>
        <w:rPr/>
      </w:pPr>
      <w:r>
        <w:rPr>
          <w:rFonts w:ascii="Calibri" w:hAnsi="Calibri"/>
          <w:b/>
          <w:sz w:val="22"/>
        </w:rPr>
        <w:t>2. METODOLOGÍA DE INVENTARIO DE LA OFERTA FORMATIVA</w:t>
      </w:r>
    </w:p>
    <w:p>
      <w:pPr>
        <w:pStyle w:val="Normal"/>
        <w:spacing w:before="0" w:after="120"/>
        <w:rPr/>
      </w:pPr>
      <w:r>
        <w:rPr>
          <w:rFonts w:ascii="Calibri" w:hAnsi="Calibri"/>
          <w:b/>
          <w:i/>
          <w:color w:val="1F5C99"/>
          <w:sz w:val="19"/>
        </w:rPr>
        <w:t>[Contribuye a: Robustez de la metodología · 35 pts]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Describa el enfoque para inventariar la oferta formativa disponible en materia de economía del dato, cubriendo como mínimo las cuatro fuentes exigidas por el Pliego: formación universitaria (grados, másteres, títulos propios), Formación Profesional reglada, formación privada especializada y MOOCs/formación online abierta. Indique fuentes primarias y secundarias, criterios de búsqueda y mecanismos de validación de la calidad de los datos recopilados.</w:t>
      </w:r>
    </w:p>
    <w:p>
      <w:pPr>
        <w:pStyle w:val="Normal"/>
        <w:rPr/>
      </w:pPr>
      <w:r>
        <w:rPr/>
      </w:r>
    </w:p>
    <w:p>
      <w:pPr>
        <w:pStyle w:val="Normal"/>
        <w:rPr/>
      </w:pPr>
      <w:r>
        <w:rPr/>
      </w:r>
    </w:p>
    <w:p>
      <w:pPr>
        <w:pStyle w:val="Normal"/>
        <w:rPr/>
      </w:pPr>
      <w:r>
        <w:rPr/>
      </w:r>
    </w:p>
    <w:p>
      <w:pPr>
        <w:pStyle w:val="Normal"/>
        <w:rPr/>
      </w:pPr>
      <w:r>
        <w:rPr/>
      </w:r>
    </w:p>
    <w:p>
      <w:pPr>
        <w:pStyle w:val="Normal"/>
        <w:spacing w:before="200" w:after="80"/>
        <w:rPr/>
      </w:pPr>
      <w:r>
        <w:rPr>
          <w:rFonts w:ascii="Calibri" w:hAnsi="Calibri"/>
          <w:b/>
          <w:sz w:val="22"/>
        </w:rPr>
        <w:t>3. METODOLOGÍA DE DIAGNÓSTICO DE LA DEMANDA</w:t>
      </w:r>
    </w:p>
    <w:p>
      <w:pPr>
        <w:pStyle w:val="Normal"/>
        <w:spacing w:before="0" w:after="120"/>
        <w:rPr/>
      </w:pPr>
      <w:r>
        <w:rPr>
          <w:rFonts w:ascii="Calibri" w:hAnsi="Calibri"/>
          <w:b/>
          <w:i/>
          <w:color w:val="1F5C99"/>
          <w:sz w:val="19"/>
        </w:rPr>
        <w:t>[Contribuye a: Robustez de la metodología · 35 pts]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Describa el enfoque para identificar las necesidades de capacitación de los profesionales en activo en empresas del ecosistema de la economía del dato, por sector. Detalle el diseño de la encuesta y/o entrevistas, el tamaño de muestra previsto por sector y los mecanismos de validación de las respuestas obtenidas.</w:t>
      </w:r>
    </w:p>
    <w:p>
      <w:pPr>
        <w:pStyle w:val="Normal"/>
        <w:rPr/>
      </w:pPr>
      <w:r>
        <w:rPr/>
      </w:r>
    </w:p>
    <w:p>
      <w:pPr>
        <w:pStyle w:val="Normal"/>
        <w:rPr/>
      </w:pPr>
      <w:r>
        <w:rPr/>
      </w:r>
    </w:p>
    <w:p>
      <w:pPr>
        <w:pStyle w:val="Normal"/>
        <w:rPr/>
      </w:pPr>
      <w:r>
        <w:rPr/>
      </w:r>
    </w:p>
    <w:p>
      <w:pPr>
        <w:pStyle w:val="Normal"/>
        <w:rPr/>
      </w:pPr>
      <w:r>
        <w:rPr/>
      </w:r>
    </w:p>
    <w:p>
      <w:pPr>
        <w:pStyle w:val="Normal"/>
        <w:spacing w:before="200" w:after="80"/>
        <w:rPr/>
      </w:pPr>
      <w:r>
        <w:rPr>
          <w:rFonts w:ascii="Calibri" w:hAnsi="Calibri"/>
          <w:b/>
          <w:sz w:val="22"/>
        </w:rPr>
        <w:t>4. METODOLOGÍA DEL MAPA DE BRECHAS DE COMPETENCIAS (GAP ANALYSIS)</w:t>
      </w:r>
    </w:p>
    <w:p>
      <w:pPr>
        <w:pStyle w:val="Normal"/>
        <w:spacing w:before="0" w:after="120"/>
        <w:rPr/>
      </w:pPr>
      <w:r>
        <w:rPr>
          <w:rFonts w:ascii="Calibri" w:hAnsi="Calibri"/>
          <w:b/>
          <w:i/>
          <w:color w:val="1F5C99"/>
          <w:sz w:val="19"/>
        </w:rPr>
        <w:t>[Contribuye a: Robustez de la metodología · 35 pts]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Describa el método de comparación estructurada entre la oferta formativa inventariada (§2) y la demanda diagnosticada (§3), por sector y por competencia del marco de referencia (§1), incluyendo los criterios para calificar una brecha como prioritaria.</w:t>
      </w:r>
    </w:p>
    <w:p>
      <w:pPr>
        <w:pStyle w:val="Normal"/>
        <w:rPr/>
      </w:pPr>
      <w:r>
        <w:rPr/>
      </w:r>
    </w:p>
    <w:p>
      <w:pPr>
        <w:pStyle w:val="Normal"/>
        <w:rPr/>
      </w:pPr>
      <w:r>
        <w:rPr/>
      </w:r>
    </w:p>
    <w:p>
      <w:pPr>
        <w:pStyle w:val="Normal"/>
        <w:rPr/>
      </w:pPr>
      <w:r>
        <w:rPr/>
      </w:r>
    </w:p>
    <w:p>
      <w:pPr>
        <w:pStyle w:val="Normal"/>
        <w:spacing w:before="200" w:after="80"/>
        <w:rPr/>
      </w:pPr>
      <w:r>
        <w:rPr>
          <w:rFonts w:ascii="Calibri" w:hAnsi="Calibri"/>
          <w:b/>
          <w:sz w:val="22"/>
        </w:rPr>
        <w:t>5. PLAN DE CONSULTA AL ECOSISTEMA Y ORGANIZACIONES ADICIONALES</w:t>
      </w:r>
    </w:p>
    <w:p>
      <w:pPr>
        <w:pStyle w:val="Normal"/>
        <w:spacing w:before="0" w:after="120"/>
        <w:rPr/>
      </w:pPr>
      <w:r>
        <w:rPr>
          <w:rFonts w:ascii="Calibri" w:hAnsi="Calibri"/>
          <w:b/>
          <w:i/>
          <w:color w:val="1F5C99"/>
          <w:sz w:val="19"/>
        </w:rPr>
        <w:t>[Contribuye a: Ampliación de la consulta al ecosistema · 4 pts (automático)]</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Describa el canal de comunicación, el cuestionario o guía de preguntas y el proceso de síntesis de la consulta formal a las asociaciones obligatorias (AMETIC, CONETIC, ASEDIE, DAMA Spain, Baidata, Digitales, Adigital, CEOE, Aslan, CEPYME, Indesia). Identifique y justifique, en su caso, las organizaciones adicionales propuestas, indicando si son representativas del ámbito de la economía del dato, de la formación, o de ambos.</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Nº</w:t>
            </w:r>
          </w:p>
        </w:tc>
        <w:tc>
          <w:tcPr>
            <w:tcW w:w="228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Organización adicional propuesta</w:t>
            </w:r>
          </w:p>
        </w:tc>
        <w:tc>
          <w:tcPr>
            <w:tcW w:w="228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Ámbito (dato / formación / ambos)</w:t>
            </w:r>
          </w:p>
        </w:tc>
        <w:tc>
          <w:tcPr>
            <w:tcW w:w="2279"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Justificación</w:t>
            </w:r>
          </w:p>
        </w:tc>
      </w:tr>
      <w:tr>
        <w:trPr/>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1</w:t>
            </w:r>
          </w:p>
        </w:tc>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228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2</w:t>
            </w:r>
          </w:p>
        </w:tc>
        <w:tc>
          <w:tcPr>
            <w:tcW w:w="228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3</w:t>
            </w:r>
          </w:p>
        </w:tc>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228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4</w:t>
            </w:r>
          </w:p>
        </w:tc>
        <w:tc>
          <w:tcPr>
            <w:tcW w:w="228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5</w:t>
            </w:r>
          </w:p>
        </w:tc>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6. SECTORES ADICIONALES PROPUESTOS</w:t>
      </w:r>
    </w:p>
    <w:p>
      <w:pPr>
        <w:pStyle w:val="Normal"/>
        <w:spacing w:before="0" w:after="120"/>
        <w:rPr/>
      </w:pPr>
      <w:r>
        <w:rPr>
          <w:rFonts w:ascii="Calibri" w:hAnsi="Calibri"/>
          <w:b/>
          <w:i/>
          <w:color w:val="1F5C99"/>
          <w:sz w:val="19"/>
        </w:rPr>
        <w:t>[Contribuye a: Ampliación del alcance sectorial 12 puntos]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Los seis sectores obligatorios (Turismo, Movilidad, Agroalimentario, Comercio, Salud, Industria) están definidos en el Pliego conforme al punto 3.a de la Resolución de concesión de la subvención. Proponga,  sectores adicionales y justifique su relevancia para la economía del dato española.</w:t>
      </w:r>
    </w:p>
    <w:tbl>
      <w:tblPr>
        <w:tblStyle w:val="TableGrid"/>
        <w:tblW w:w="9118"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00"/>
        <w:gridCol w:w="3049"/>
        <w:gridCol w:w="5469"/>
      </w:tblGrid>
      <w:tr>
        <w:trPr/>
        <w:tc>
          <w:tcPr>
            <w:tcW w:w="60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Nº</w:t>
            </w:r>
          </w:p>
        </w:tc>
        <w:tc>
          <w:tcPr>
            <w:tcW w:w="3049"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Sector adicional propuesto</w:t>
            </w:r>
          </w:p>
        </w:tc>
        <w:tc>
          <w:tcPr>
            <w:tcW w:w="5469"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Justificación de su relevancia</w:t>
            </w:r>
          </w:p>
        </w:tc>
      </w:tr>
      <w:tr>
        <w:trPr/>
        <w:tc>
          <w:tcPr>
            <w:tcW w:w="600" w:type="dxa"/>
            <w:tcBorders/>
            <w:shd w:color="auto" w:fill="F2F2F2" w:val="clear"/>
          </w:tcPr>
          <w:p>
            <w:pPr>
              <w:pStyle w:val="Normal"/>
              <w:widowControl/>
              <w:suppressAutoHyphens w:val="true"/>
              <w:spacing w:lineRule="auto" w:line="240" w:before="0" w:after="0"/>
              <w:jc w:val="left"/>
              <w:rPr>
                <w:rFonts w:ascii="Calibri" w:hAnsi="Calibri"/>
                <w:sz w:val="22"/>
                <w:szCs w:val="22"/>
              </w:rPr>
            </w:pPr>
            <w:r>
              <w:rPr>
                <w:rFonts w:eastAsia="ＭＳ 明朝" w:cs="" w:ascii="Calibri" w:hAnsi="Calibri"/>
                <w:kern w:val="0"/>
                <w:sz w:val="22"/>
                <w:szCs w:val="22"/>
                <w:lang w:val="en-US" w:eastAsia="en-US" w:bidi="ar-SA"/>
              </w:rPr>
              <w:t>1</w:t>
            </w:r>
          </w:p>
        </w:tc>
        <w:tc>
          <w:tcPr>
            <w:tcW w:w="304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546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600" w:type="dxa"/>
            <w:tcBorders/>
          </w:tcPr>
          <w:p>
            <w:pPr>
              <w:pStyle w:val="Normal"/>
              <w:widowControl/>
              <w:suppressAutoHyphens w:val="true"/>
              <w:spacing w:lineRule="auto" w:line="240" w:before="0" w:after="0"/>
              <w:jc w:val="left"/>
              <w:rPr>
                <w:rFonts w:ascii="Calibri" w:hAnsi="Calibri"/>
                <w:sz w:val="22"/>
                <w:szCs w:val="22"/>
              </w:rPr>
            </w:pPr>
            <w:r>
              <w:rPr>
                <w:rFonts w:eastAsia="ＭＳ 明朝" w:cs="" w:ascii="Calibri" w:hAnsi="Calibri"/>
                <w:kern w:val="0"/>
                <w:sz w:val="22"/>
                <w:szCs w:val="22"/>
                <w:lang w:val="en-US" w:eastAsia="en-US" w:bidi="ar-SA"/>
              </w:rPr>
              <w:t>2</w:t>
            </w:r>
          </w:p>
        </w:tc>
        <w:tc>
          <w:tcPr>
            <w:tcW w:w="304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546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600" w:type="dxa"/>
            <w:tcBorders>
              <w:top w:val="nil"/>
            </w:tcBorders>
          </w:tcPr>
          <w:p>
            <w:pPr>
              <w:pStyle w:val="Normal"/>
              <w:widowControl/>
              <w:suppressAutoHyphens w:val="true"/>
              <w:spacing w:lineRule="auto" w:line="240" w:before="0" w:after="0"/>
              <w:jc w:val="left"/>
              <w:rPr>
                <w:rFonts w:ascii="Calibri" w:hAnsi="Calibri"/>
                <w:sz w:val="22"/>
                <w:szCs w:val="22"/>
              </w:rPr>
            </w:pPr>
            <w:r>
              <w:rPr>
                <w:rFonts w:eastAsia="ＭＳ 明朝" w:cs="" w:ascii="Calibri" w:hAnsi="Calibri"/>
                <w:kern w:val="0"/>
                <w:sz w:val="22"/>
                <w:szCs w:val="22"/>
                <w:lang w:val="en-US" w:eastAsia="en-US" w:bidi="ar-SA"/>
              </w:rPr>
              <w:t>3</w:t>
            </w:r>
          </w:p>
        </w:tc>
        <w:tc>
          <w:tcPr>
            <w:tcW w:w="3049"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5469"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600" w:type="dxa"/>
            <w:tcBorders>
              <w:top w:val="nil"/>
            </w:tcBorders>
          </w:tcPr>
          <w:p>
            <w:pPr>
              <w:pStyle w:val="Normal"/>
              <w:widowControl/>
              <w:suppressAutoHyphens w:val="true"/>
              <w:spacing w:lineRule="auto" w:line="240" w:before="0" w:after="0"/>
              <w:jc w:val="left"/>
              <w:rPr>
                <w:rFonts w:ascii="Calibri" w:hAnsi="Calibri" w:eastAsia="ＭＳ 明朝" w:cs=""/>
                <w:kern w:val="0"/>
                <w:sz w:val="22"/>
                <w:szCs w:val="22"/>
                <w:lang w:val="en-US" w:eastAsia="en-US" w:bidi="ar-SA"/>
              </w:rPr>
            </w:pPr>
            <w:r>
              <w:rPr>
                <w:rFonts w:eastAsia="ＭＳ 明朝" w:cs="" w:ascii="Calibri" w:hAnsi="Calibri"/>
                <w:kern w:val="0"/>
                <w:sz w:val="22"/>
                <w:szCs w:val="22"/>
                <w:lang w:val="en-US" w:eastAsia="en-US" w:bidi="ar-SA"/>
              </w:rPr>
              <w:t>4</w:t>
            </w:r>
          </w:p>
        </w:tc>
        <w:tc>
          <w:tcPr>
            <w:tcW w:w="3049"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5469"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600" w:type="dxa"/>
            <w:tcBorders>
              <w:top w:val="nil"/>
            </w:tcBorders>
          </w:tcPr>
          <w:p>
            <w:pPr>
              <w:pStyle w:val="Normal"/>
              <w:widowControl/>
              <w:suppressAutoHyphens w:val="true"/>
              <w:spacing w:lineRule="auto" w:line="240" w:before="0" w:after="0"/>
              <w:jc w:val="left"/>
              <w:rPr>
                <w:rFonts w:ascii="Calibri" w:hAnsi="Calibri" w:eastAsia="ＭＳ 明朝" w:cs=""/>
                <w:kern w:val="0"/>
                <w:sz w:val="22"/>
                <w:szCs w:val="22"/>
                <w:lang w:val="en-US" w:eastAsia="en-US" w:bidi="ar-SA"/>
              </w:rPr>
            </w:pPr>
            <w:r>
              <w:rPr>
                <w:rFonts w:eastAsia="ＭＳ 明朝" w:cs="" w:ascii="Calibri" w:hAnsi="Calibri"/>
                <w:kern w:val="0"/>
                <w:sz w:val="22"/>
                <w:szCs w:val="22"/>
                <w:lang w:val="en-US" w:eastAsia="en-US" w:bidi="ar-SA"/>
              </w:rPr>
              <w:t>5</w:t>
            </w:r>
          </w:p>
        </w:tc>
        <w:tc>
          <w:tcPr>
            <w:tcW w:w="3049"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5469"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600" w:type="dxa"/>
            <w:tcBorders>
              <w:top w:val="nil"/>
            </w:tcBorders>
          </w:tcPr>
          <w:p>
            <w:pPr>
              <w:pStyle w:val="Normal"/>
              <w:widowControl/>
              <w:suppressAutoHyphens w:val="true"/>
              <w:spacing w:lineRule="auto" w:line="240" w:before="0" w:after="0"/>
              <w:jc w:val="left"/>
              <w:rPr>
                <w:rFonts w:ascii="Calibri" w:hAnsi="Calibri"/>
                <w:sz w:val="22"/>
                <w:szCs w:val="22"/>
              </w:rPr>
            </w:pPr>
            <w:r>
              <w:rPr>
                <w:rFonts w:eastAsia="ＭＳ 明朝" w:cs="" w:ascii="Calibri" w:hAnsi="Calibri"/>
                <w:kern w:val="0"/>
                <w:sz w:val="22"/>
                <w:szCs w:val="22"/>
                <w:lang w:val="en-US" w:eastAsia="en-US" w:bidi="ar-SA"/>
              </w:rPr>
              <w:t>6</w:t>
            </w:r>
          </w:p>
        </w:tc>
        <w:tc>
          <w:tcPr>
            <w:tcW w:w="3049"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5469"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7. PLAN DE COORDINACIÓN CON LOS GT DE GAIA-X Y EL ECOSISTEMA</w:t>
      </w:r>
    </w:p>
    <w:p>
      <w:pPr>
        <w:pStyle w:val="Normal"/>
        <w:spacing w:before="0" w:after="120"/>
        <w:rPr/>
      </w:pPr>
      <w:r>
        <w:rPr>
          <w:rFonts w:ascii="Calibri" w:hAnsi="Calibri"/>
          <w:b/>
          <w:i/>
          <w:color w:val="1F5C99"/>
          <w:sz w:val="19"/>
        </w:rPr>
        <w:t>[Contribuye a: Robustez de la metodología · 35 pts]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Describa el enfoque para la Sesión de Input Inicial (semanas 1-2), en la que los Grupos de Trabajo de Gaia-X España y las asociaciones del ecosistema consultadas podrán aportar inputs sobre el alcance, los sectores prioritarios y el marco de competencias propuesto antes del trabajo de campo; y para la Sesión de Revisión del Borrador (semanas 7-8), en la que se compartirá el borrador del informe final con el mismo grupo para recabar comentarios antes de la versión definitiva.</w:t>
      </w:r>
    </w:p>
    <w:p>
      <w:pPr>
        <w:pStyle w:val="Normal"/>
        <w:rPr/>
      </w:pPr>
      <w:r>
        <w:rPr/>
      </w:r>
    </w:p>
    <w:p>
      <w:pPr>
        <w:pStyle w:val="Normal"/>
        <w:rPr/>
      </w:pPr>
      <w:r>
        <w:rPr/>
      </w:r>
    </w:p>
    <w:p>
      <w:pPr>
        <w:pStyle w:val="Normal"/>
        <w:rPr/>
      </w:pPr>
      <w:r>
        <w:rPr/>
      </w:r>
    </w:p>
    <w:p>
      <w:pPr>
        <w:pStyle w:val="Normal"/>
        <w:spacing w:before="200" w:after="80"/>
        <w:rPr/>
      </w:pPr>
      <w:r>
        <w:rPr>
          <w:rFonts w:ascii="Calibri" w:hAnsi="Calibri"/>
          <w:b/>
          <w:sz w:val="22"/>
        </w:rPr>
        <w:t>8. PLAN DE TRABAJO, CRONOGRAMA Y DEDICACIONES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Este apartado es obligatorio conforme al Pliego, aunque no constituye un criterio de valoración puntuado de forma independiente.</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Detalle el cronograma de ejecución de 8 semanas a partir de la adjudicación, con el informe final aprobado como máximo el 20 de noviembre de 2026. Marque con una 'X' las semanas en que se desarrolla cada tarea. Los hitos fijos del Pliego (E0-E3 y las dos sesiones de coordinación, marcados 'F') están prellenados en su semana orientativa; añada filas propias si lo considera necesario.</w:t>
      </w:r>
    </w:p>
    <w:tbl>
      <w:tblPr>
        <w:tblStyle w:val="TableGrid"/>
        <w:tblW w:w="9126"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013"/>
        <w:gridCol w:w="1014"/>
        <w:gridCol w:w="1014"/>
        <w:gridCol w:w="1014"/>
        <w:gridCol w:w="1015"/>
        <w:gridCol w:w="1014"/>
        <w:gridCol w:w="1016"/>
        <w:gridCol w:w="1013"/>
        <w:gridCol w:w="1012"/>
      </w:tblGrid>
      <w:tr>
        <w:trPr/>
        <w:tc>
          <w:tcPr>
            <w:tcW w:w="1013"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6"/>
                <w:szCs w:val="22"/>
                <w:lang w:val="en-US" w:eastAsia="en-US" w:bidi="ar-SA"/>
              </w:rPr>
              <w:t>Actividad / Entregable</w:t>
            </w:r>
          </w:p>
        </w:tc>
        <w:tc>
          <w:tcPr>
            <w:tcW w:w="1014"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6"/>
                <w:szCs w:val="22"/>
                <w:lang w:val="en-US" w:eastAsia="en-US" w:bidi="ar-SA"/>
              </w:rPr>
              <w:t>S1</w:t>
            </w:r>
          </w:p>
        </w:tc>
        <w:tc>
          <w:tcPr>
            <w:tcW w:w="1014"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6"/>
                <w:szCs w:val="22"/>
                <w:lang w:val="en-US" w:eastAsia="en-US" w:bidi="ar-SA"/>
              </w:rPr>
              <w:t>S2</w:t>
            </w:r>
          </w:p>
        </w:tc>
        <w:tc>
          <w:tcPr>
            <w:tcW w:w="1014"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6"/>
                <w:szCs w:val="22"/>
                <w:lang w:val="en-US" w:eastAsia="en-US" w:bidi="ar-SA"/>
              </w:rPr>
              <w:t>S3</w:t>
            </w:r>
          </w:p>
        </w:tc>
        <w:tc>
          <w:tcPr>
            <w:tcW w:w="1015"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6"/>
                <w:szCs w:val="22"/>
                <w:lang w:val="en-US" w:eastAsia="en-US" w:bidi="ar-SA"/>
              </w:rPr>
              <w:t>S4</w:t>
            </w:r>
          </w:p>
        </w:tc>
        <w:tc>
          <w:tcPr>
            <w:tcW w:w="1014"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6"/>
                <w:szCs w:val="22"/>
                <w:lang w:val="en-US" w:eastAsia="en-US" w:bidi="ar-SA"/>
              </w:rPr>
              <w:t>S5</w:t>
            </w:r>
          </w:p>
        </w:tc>
        <w:tc>
          <w:tcPr>
            <w:tcW w:w="1016"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6"/>
                <w:szCs w:val="22"/>
                <w:lang w:val="en-US" w:eastAsia="en-US" w:bidi="ar-SA"/>
              </w:rPr>
              <w:t>S6</w:t>
            </w:r>
          </w:p>
        </w:tc>
        <w:tc>
          <w:tcPr>
            <w:tcW w:w="1013"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6"/>
                <w:szCs w:val="22"/>
                <w:lang w:val="en-US" w:eastAsia="en-US" w:bidi="ar-SA"/>
              </w:rPr>
              <w:t>S7</w:t>
            </w:r>
          </w:p>
        </w:tc>
        <w:tc>
          <w:tcPr>
            <w:tcW w:w="1012"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6"/>
                <w:szCs w:val="22"/>
                <w:lang w:val="en-US" w:eastAsia="en-US" w:bidi="ar-SA"/>
              </w:rPr>
              <w:t>S8</w:t>
            </w:r>
          </w:p>
        </w:tc>
      </w:tr>
      <w:tr>
        <w:trPr/>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T1 — Marco de competencias y metodología</w:t>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5"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6"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2"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013"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T2 — Inventario de oferta formativa (univ./FP/privada/MOOCs)</w:t>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5"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6"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3"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2"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T3 — Diagnóstico de demanda y consulta al ecosistema</w:t>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5"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6"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2"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013"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T4 — Mapa de brechas de competencias y barreras</w:t>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5"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6"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3"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2"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T5 — Conclusiones y recomendaciones</w:t>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5"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6"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c>
          <w:tcPr>
            <w:tcW w:w="1012"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X</w:t>
            </w:r>
          </w:p>
        </w:tc>
      </w:tr>
      <w:tr>
        <w:trPr/>
        <w:tc>
          <w:tcPr>
            <w:tcW w:w="1013"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Sesión de Input Inicial (con GT Gaia-X y ecosistema)</w:t>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F</w:t>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5"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6"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3"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2"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E0 — Metodología, marco de competencias y plan de trabajo</w:t>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F</w:t>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5"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6"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2"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013"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E1 — Inventario de oferta formativa</w:t>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5"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F</w:t>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6"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3"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2"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E2 — Diagnóstico de demanda y mapa de brechas preliminar</w:t>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5"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6"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F</w:t>
            </w:r>
          </w:p>
        </w:tc>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2"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013"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Sesión de Revisión del Borrador (con GT Gaia-X y ecosistema)</w:t>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5"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6"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3"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F</w:t>
            </w:r>
          </w:p>
        </w:tc>
        <w:tc>
          <w:tcPr>
            <w:tcW w:w="1012"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E3 — Informe final consolidado</w:t>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5"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4"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6"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3"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012"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7"/>
                <w:szCs w:val="22"/>
                <w:lang w:val="en-US" w:eastAsia="en-US" w:bidi="ar-SA"/>
              </w:rPr>
              <w:t>F</w:t>
            </w:r>
          </w:p>
        </w:tc>
      </w:tr>
    </w:tbl>
    <w:p>
      <w:pPr>
        <w:pStyle w:val="Normal"/>
        <w:rPr/>
      </w:pPr>
      <w:r>
        <w:rPr/>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'X' = semana de ejecución de la tarea. 'F' = hito de entrega u hito de coordinación fijo según el Pliego (fecha exacta a confirmar en la adjudicación). Añada filas adicionales para actividades propias del licitador.</w:t>
      </w:r>
    </w:p>
    <w:p>
      <w:pPr>
        <w:pStyle w:val="Normal"/>
        <w:rPr/>
      </w:pPr>
      <w:r>
        <w:rPr/>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Dedicaciones por perfil (a completar):</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280"/>
        <w:gridCol w:w="2280"/>
        <w:gridCol w:w="2280"/>
        <w:gridCol w:w="2279"/>
      </w:tblGrid>
      <w:tr>
        <w:trPr/>
        <w:tc>
          <w:tcPr>
            <w:tcW w:w="228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Perfil</w:t>
            </w:r>
          </w:p>
        </w:tc>
        <w:tc>
          <w:tcPr>
            <w:tcW w:w="228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Horas totales</w:t>
            </w:r>
          </w:p>
        </w:tc>
        <w:tc>
          <w:tcPr>
            <w:tcW w:w="228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 dedicación media</w:t>
            </w:r>
          </w:p>
        </w:tc>
        <w:tc>
          <w:tcPr>
            <w:tcW w:w="2279"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Semanas de mayor carga</w:t>
            </w:r>
          </w:p>
        </w:tc>
      </w:tr>
      <w:tr>
        <w:trPr>
          <w:trHeight w:val="567" w:hRule="atLeast"/>
        </w:trPr>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567" w:hRule="atLeast"/>
        </w:trPr>
        <w:tc>
          <w:tcPr>
            <w:tcW w:w="2280" w:type="dxa"/>
            <w:tcBorders/>
            <w:shd w:color="auto" w:fill="FFFFFF"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567" w:hRule="atLeast"/>
        </w:trPr>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rHeight w:val="567" w:hRule="atLeast"/>
        </w:trPr>
        <w:tc>
          <w:tcPr>
            <w:tcW w:w="2280" w:type="dxa"/>
            <w:tcBorders/>
            <w:shd w:color="auto" w:fill="FFFFFF"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80" w:type="dxa"/>
            <w:tcBorders/>
            <w:shd w:color="auto" w:fill="FFFFFF"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2279" w:type="dxa"/>
            <w:tcBorders/>
            <w:shd w:color="auto" w:fill="FFFFFF"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9. MODELO DE DATOS DE LOS CONTENIDOS Y REPOSITORIO FINAL</w:t>
      </w:r>
    </w:p>
    <w:p>
      <w:pPr>
        <w:pStyle w:val="Normal"/>
        <w:spacing w:before="0" w:after="120"/>
        <w:rPr/>
      </w:pPr>
      <w:r>
        <w:rPr>
          <w:rFonts w:ascii="Calibri" w:hAnsi="Calibri"/>
          <w:b/>
          <w:i/>
          <w:color w:val="1F5C99"/>
          <w:sz w:val="19"/>
        </w:rPr>
        <w:t>[Contribuye a: Calidad del modelo de datos de los contenidos · 5 pts]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Describa el modelo de datos que empleará para estructurar el diagnóstico, el inventario de oferta formativa y el mapa de brechas, así como el formato del repositorio de datos que se entregará junto con el Entregable 3. Se valorará positivamente el uso de vocabularios, taxonomías u ontologías reconocidos para describir competencias y metadatos (p. ej. ESCO, DigComp, DCAT-AP / DCAT-AP ES para los metadatos del repositorio), así como la utilización de estándares abiertos y formatos técnicos que faciliten la reutilización.</w:t>
      </w:r>
    </w:p>
    <w:p>
      <w:pPr>
        <w:pStyle w:val="Normal"/>
        <w:rPr/>
      </w:pPr>
      <w:r>
        <w:rPr/>
      </w:r>
    </w:p>
    <w:p>
      <w:pPr>
        <w:pStyle w:val="Normal"/>
        <w:rPr>
          <w:rFonts w:ascii="Times New Roman" w:hAnsi="Times New Roman"/>
          <w:b/>
          <w:i/>
          <w:i/>
          <w:color w:val="707070"/>
          <w:sz w:val="19"/>
        </w:rPr>
      </w:pPr>
      <w:r>
        <w:rPr>
          <w:rFonts w:ascii="Times New Roman" w:hAnsi="Times New Roman"/>
          <w:b/>
          <w:i/>
          <w:color w:val="707070"/>
          <w:sz w:val="19"/>
        </w:rPr>
      </w:r>
    </w:p>
    <w:p>
      <w:pPr>
        <w:pStyle w:val="Normal"/>
        <w:spacing w:before="200" w:after="80"/>
        <w:rPr/>
      </w:pPr>
      <w:r>
        <w:rPr>
          <w:rFonts w:ascii="Calibri" w:hAnsi="Calibri"/>
          <w:b/>
          <w:sz w:val="22"/>
        </w:rPr>
        <w:t>10. ACREDITACIÓN OBJETIVA DE EXPERIENCIA (PROYECTOS)</w:t>
      </w:r>
    </w:p>
    <w:p>
      <w:pPr>
        <w:pStyle w:val="Normal"/>
        <w:spacing w:before="0" w:after="120"/>
        <w:rPr/>
      </w:pPr>
      <w:r>
        <w:rPr>
          <w:rFonts w:ascii="Calibri" w:hAnsi="Calibri"/>
          <w:b/>
          <w:i/>
          <w:color w:val="1F5C99"/>
          <w:sz w:val="19"/>
        </w:rPr>
        <w:t>[Requisito mínimo de exclusión  +  Contribuye a: Experiencia objetiva acreditada · 5 pts (automático, por recuento)]</w:t>
      </w:r>
    </w:p>
    <w:p>
      <w:pPr>
        <w:pStyle w:val="Normal"/>
        <w:spacing w:before="40" w:after="80"/>
        <w:rPr/>
      </w:pPr>
      <w:r>
        <w:rPr>
          <w:rFonts w:ascii="Times New Roman" w:hAnsi="Times New Roman"/>
          <w:b/>
          <w:color w:val="C55A11"/>
          <w:sz w:val="20"/>
        </w:rPr>
        <w:t xml:space="preserve">⚠  </w:t>
      </w:r>
      <w:r>
        <w:rPr>
          <w:rFonts w:ascii="Times New Roman" w:hAnsi="Times New Roman"/>
          <w:b/>
          <w:color w:val="C55A11"/>
          <w:sz w:val="20"/>
        </w:rPr>
        <w:t>Requisito mínimo de exclusión: al menos 3 proyectos de diagnóstico de necesidades formativas, formación de competencias o gestión del talento, en los últimos 4 años; y al menos 1 proyecto de economía del dato, espacios de datos o compartición de datos, en los últimos 4 años.</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Cada proyecto alegado debe identificarse de forma explícita e inequívoca: cliente, título o descripción concreta, importe, fechas de inicio y fin, y tipo (Formación / Economía del dato). No se admitirán relaciones genéricas, sin fechas o sin descripción verificable — no serán computadas a efectos de la puntuación. Puede alegar proyectos adicionales a los mínimos exigidos para obtener puntuación adicional.</w:t>
      </w:r>
    </w:p>
    <w:tbl>
      <w:tblPr>
        <w:tblStyle w:val="TableGrid"/>
        <w:tblW w:w="912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1520"/>
        <w:gridCol w:w="1519"/>
        <w:gridCol w:w="1521"/>
        <w:gridCol w:w="1520"/>
        <w:gridCol w:w="1519"/>
        <w:gridCol w:w="1520"/>
      </w:tblGrid>
      <w:tr>
        <w:trPr/>
        <w:tc>
          <w:tcPr>
            <w:tcW w:w="152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8"/>
                <w:szCs w:val="22"/>
                <w:lang w:val="en-US" w:eastAsia="en-US" w:bidi="ar-SA"/>
              </w:rPr>
              <w:t>Nº</w:t>
            </w:r>
          </w:p>
        </w:tc>
        <w:tc>
          <w:tcPr>
            <w:tcW w:w="1519"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8"/>
                <w:szCs w:val="22"/>
                <w:lang w:val="en-US" w:eastAsia="en-US" w:bidi="ar-SA"/>
              </w:rPr>
              <w:t>Proyecto</w:t>
            </w:r>
          </w:p>
        </w:tc>
        <w:tc>
          <w:tcPr>
            <w:tcW w:w="1521"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8"/>
                <w:szCs w:val="22"/>
                <w:lang w:val="en-US" w:eastAsia="en-US" w:bidi="ar-SA"/>
              </w:rPr>
              <w:t>Cliente</w:t>
            </w:r>
          </w:p>
        </w:tc>
        <w:tc>
          <w:tcPr>
            <w:tcW w:w="152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8"/>
                <w:szCs w:val="22"/>
                <w:lang w:val="en-US" w:eastAsia="en-US" w:bidi="ar-SA"/>
              </w:rPr>
              <w:t>Tipo</w:t>
              <w:br/>
              <w:t>(Formación / Ec. del dato)</w:t>
            </w:r>
          </w:p>
        </w:tc>
        <w:tc>
          <w:tcPr>
            <w:tcW w:w="1519"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8"/>
                <w:szCs w:val="22"/>
                <w:lang w:val="en-US" w:eastAsia="en-US" w:bidi="ar-SA"/>
              </w:rPr>
              <w:t>Fechas</w:t>
            </w:r>
          </w:p>
        </w:tc>
        <w:tc>
          <w:tcPr>
            <w:tcW w:w="1520"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8"/>
                <w:szCs w:val="22"/>
                <w:lang w:val="en-US" w:eastAsia="en-US" w:bidi="ar-SA"/>
              </w:rPr>
              <w:t>Descripción y relación con el requisito</w:t>
            </w:r>
          </w:p>
        </w:tc>
      </w:tr>
      <w:tr>
        <w:trPr/>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1</w:t>
            </w:r>
          </w:p>
        </w:tc>
        <w:tc>
          <w:tcPr>
            <w:tcW w:w="151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1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2</w:t>
            </w:r>
          </w:p>
        </w:tc>
        <w:tc>
          <w:tcPr>
            <w:tcW w:w="151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1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3</w:t>
            </w:r>
          </w:p>
        </w:tc>
        <w:tc>
          <w:tcPr>
            <w:tcW w:w="151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1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4</w:t>
            </w:r>
          </w:p>
        </w:tc>
        <w:tc>
          <w:tcPr>
            <w:tcW w:w="151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1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5</w:t>
            </w:r>
          </w:p>
        </w:tc>
        <w:tc>
          <w:tcPr>
            <w:tcW w:w="151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1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6</w:t>
            </w:r>
          </w:p>
        </w:tc>
        <w:tc>
          <w:tcPr>
            <w:tcW w:w="151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1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7</w:t>
            </w:r>
          </w:p>
        </w:tc>
        <w:tc>
          <w:tcPr>
            <w:tcW w:w="151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1"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19"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8"/>
                <w:szCs w:val="22"/>
                <w:lang w:val="en-US" w:eastAsia="en-US" w:bidi="ar-SA"/>
              </w:rPr>
              <w:t>8</w:t>
            </w:r>
          </w:p>
        </w:tc>
        <w:tc>
          <w:tcPr>
            <w:tcW w:w="151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1"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19"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r>
        <w:trPr/>
        <w:tc>
          <w:tcPr>
            <w:tcW w:w="1520"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ascii="Times New Roman" w:hAnsi="Times New Roman"/>
                <w:sz w:val="18"/>
              </w:rPr>
              <w:t>9</w:t>
            </w:r>
          </w:p>
        </w:tc>
        <w:tc>
          <w:tcPr>
            <w:tcW w:w="1519"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1"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19"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c>
          <w:tcPr>
            <w:tcW w:w="1520" w:type="dxa"/>
            <w:tcBorders>
              <w:top w:val="nil"/>
            </w:tcBorders>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kern w:val="0"/>
                <w:sz w:val="22"/>
                <w:szCs w:val="22"/>
                <w:lang w:val="en-US" w:eastAsia="en-US" w:bidi="ar-SA"/>
              </w:rPr>
            </w:r>
          </w:p>
        </w:tc>
      </w:tr>
    </w:tbl>
    <w:p>
      <w:pPr>
        <w:pStyle w:val="Normal"/>
        <w:rPr/>
      </w:pPr>
      <w:r>
        <w:rPr/>
      </w:r>
    </w:p>
    <w:p>
      <w:pPr>
        <w:pStyle w:val="Normal"/>
        <w:spacing w:before="200" w:after="80"/>
        <w:rPr/>
      </w:pPr>
      <w:r>
        <w:rPr>
          <w:rFonts w:ascii="Calibri" w:hAnsi="Calibri"/>
          <w:b/>
          <w:sz w:val="22"/>
        </w:rPr>
        <w:t>11. LISTADO DE DOCUMENTOS ADJUNTOS AL ARCHIVO B</w:t>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Verifique que todos los documentos obligatorios están adjuntos antes de enviar la propuesta.</w:t>
      </w:r>
    </w:p>
    <w:tbl>
      <w:tblPr>
        <w:tblStyle w:val="TableGrid"/>
        <w:tblW w:w="9123"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3041"/>
        <w:gridCol w:w="3041"/>
        <w:gridCol w:w="3041"/>
      </w:tblGrid>
      <w:tr>
        <w:trPr/>
        <w:tc>
          <w:tcPr>
            <w:tcW w:w="3041"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Documento</w:t>
            </w:r>
          </w:p>
        </w:tc>
        <w:tc>
          <w:tcPr>
            <w:tcW w:w="3041"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Obligatorio</w:t>
            </w:r>
          </w:p>
        </w:tc>
        <w:tc>
          <w:tcPr>
            <w:tcW w:w="3041" w:type="dxa"/>
            <w:tcBorders/>
            <w:shd w:color="auto" w:fill="1F5C99" w:val="clear"/>
            <w:vAlign w:val="cente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Calibri" w:hAnsi="Calibri"/>
                <w:b/>
                <w:color w:val="FFFFFF"/>
                <w:kern w:val="0"/>
                <w:sz w:val="19"/>
                <w:szCs w:val="22"/>
                <w:lang w:val="en-US" w:eastAsia="en-US" w:bidi="ar-SA"/>
              </w:rPr>
              <w:t>Adjunto</w:t>
            </w:r>
          </w:p>
        </w:tc>
      </w:tr>
      <w:tr>
        <w:trPr/>
        <w:tc>
          <w:tcPr>
            <w:tcW w:w="3041" w:type="dxa"/>
            <w:tcBorders>
              <w:top w:val="nil"/>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B4_Documento_Confidencialidad — apartados confidenciales</w:t>
            </w:r>
          </w:p>
        </w:tc>
        <w:tc>
          <w:tcPr>
            <w:tcW w:w="3041" w:type="dxa"/>
            <w:tcBorders>
              <w:top w:val="nil"/>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Opcional</w:t>
            </w:r>
          </w:p>
        </w:tc>
        <w:tc>
          <w:tcPr>
            <w:tcW w:w="3041" w:type="dxa"/>
            <w:tcBorders>
              <w:top w:val="nil"/>
            </w:tcBorders>
            <w:shd w:color="auto" w:fill="F2F2F2" w:val="clear"/>
          </w:tcPr>
          <w:p>
            <w:pPr>
              <w:pStyle w:val="Normal"/>
              <w:widowControl/>
              <w:suppressAutoHyphens w:val="true"/>
              <w:spacing w:lineRule="auto" w:line="240" w:before="0" w:after="0"/>
              <w:jc w:val="left"/>
              <w:rPr>
                <w:rFonts w:ascii="Cambria" w:hAnsi="Cambria" w:eastAsia="ＭＳ 明朝" w:cs=""/>
                <w:kern w:val="0"/>
                <w:sz w:val="22"/>
                <w:szCs w:val="22"/>
                <w:lang w:val="en-US" w:eastAsia="en-US" w:bidi="ar-SA"/>
              </w:rPr>
            </w:pPr>
            <w:r>
              <w:rPr>
                <w:rFonts w:eastAsia="ＭＳ 明朝" w:cs="" w:ascii="Times New Roman" w:hAnsi="Times New Roman"/>
                <w:kern w:val="0"/>
                <w:sz w:val="19"/>
                <w:szCs w:val="22"/>
                <w:lang w:val="en-US" w:eastAsia="en-US" w:bidi="ar-SA"/>
              </w:rPr>
              <w:t>[ ] Sí [ ] No aplica</w:t>
            </w:r>
          </w:p>
        </w:tc>
      </w:tr>
    </w:tbl>
    <w:p>
      <w:pPr>
        <w:pStyle w:val="Normal"/>
        <w:rPr/>
      </w:pPr>
      <w:r>
        <w:rPr/>
      </w:r>
    </w:p>
    <w:p>
      <w:pPr>
        <w:pStyle w:val="Normal"/>
        <w:spacing w:before="200" w:after="80"/>
        <w:rPr/>
      </w:pPr>
      <w:r>
        <w:rPr>
          <w:rFonts w:ascii="Calibri" w:hAnsi="Calibri"/>
          <w:b/>
          <w:sz w:val="22"/>
        </w:rPr>
        <w:t>DECLARACIÓN Y FIRMA</w:t>
      </w:r>
    </w:p>
    <w:p>
      <w:pPr>
        <w:pStyle w:val="Normal"/>
        <w:spacing w:before="40" w:after="80"/>
        <w:rPr/>
      </w:pPr>
      <w:r>
        <w:rPr>
          <w:rFonts w:ascii="Times New Roman" w:hAnsi="Times New Roman"/>
          <w:sz w:val="21"/>
        </w:rPr>
        <w:t xml:space="preserve">El/La abajo firmante, actuando en nombre y representación de la entidad licitadora, declara que la información contenida en la presente propuesta técnica es veraz, completa y verificable, que la entidad tiene capacidad legal para contratar y que acepta íntegramente las condiciones del Pliego (expediente GAIX-ESP-2026-004). La presente oferta tiene una validez de </w:t>
      </w:r>
      <w:r>
        <w:rPr>
          <w:rFonts w:ascii="Times New Roman" w:hAnsi="Times New Roman"/>
          <w:sz w:val="21"/>
        </w:rPr>
        <w:t>6</w:t>
      </w:r>
      <w:r>
        <w:rPr>
          <w:rFonts w:ascii="Times New Roman" w:hAnsi="Times New Roman"/>
          <w:sz w:val="21"/>
        </w:rPr>
        <w:t>0 días naturales desde la fecha límite de presentación.</w:t>
      </w:r>
    </w:p>
    <w:p>
      <w:pPr>
        <w:pStyle w:val="Normal"/>
        <w:rPr/>
      </w:pPr>
      <w:r>
        <w:rPr/>
      </w:r>
    </w:p>
    <w:p>
      <w:pPr>
        <w:pStyle w:val="Normal"/>
        <w:spacing w:before="200" w:after="80"/>
        <w:rPr/>
      </w:pPr>
      <w:r>
        <w:rPr>
          <w:rFonts w:ascii="Calibri" w:hAnsi="Calibri"/>
          <w:b/>
          <w:sz w:val="22"/>
        </w:rPr>
        <w:t>FIRMA DEL REPRESENTANTE LEGAL</w:t>
      </w:r>
    </w:p>
    <w:p>
      <w:pPr>
        <w:pStyle w:val="Normal"/>
        <w:spacing w:before="40" w:after="60"/>
        <w:rPr/>
      </w:pPr>
      <w:r>
        <w:rPr>
          <w:rFonts w:ascii="Times New Roman" w:hAnsi="Times New Roman"/>
          <w:b/>
          <w:sz w:val="21"/>
        </w:rPr>
        <w:t xml:space="preserve">Nombre y apellidos: </w:t>
      </w:r>
      <w:r>
        <w:rPr>
          <w:rFonts w:ascii="Times New Roman" w:hAnsi="Times New Roman"/>
          <w:sz w:val="21"/>
        </w:rPr>
        <w:t>[NOMBRE Y APELLIDOS DEL FIRMANTE]</w:t>
      </w:r>
    </w:p>
    <w:p>
      <w:pPr>
        <w:pStyle w:val="Normal"/>
        <w:spacing w:before="40" w:after="60"/>
        <w:rPr/>
      </w:pPr>
      <w:r>
        <w:rPr>
          <w:rFonts w:ascii="Times New Roman" w:hAnsi="Times New Roman"/>
          <w:b/>
          <w:sz w:val="21"/>
        </w:rPr>
        <w:t xml:space="preserve">Cargo: </w:t>
      </w:r>
      <w:r>
        <w:rPr>
          <w:rFonts w:ascii="Times New Roman" w:hAnsi="Times New Roman"/>
          <w:sz w:val="21"/>
        </w:rPr>
        <w:t>[CARGO EN LA EMPRESA]</w:t>
      </w:r>
    </w:p>
    <w:p>
      <w:pPr>
        <w:pStyle w:val="Normal"/>
        <w:spacing w:before="40" w:after="60"/>
        <w:rPr/>
      </w:pPr>
      <w:r>
        <w:rPr>
          <w:rFonts w:ascii="Times New Roman" w:hAnsi="Times New Roman"/>
          <w:b/>
          <w:sz w:val="21"/>
        </w:rPr>
        <w:t xml:space="preserve">En nombre de: </w:t>
      </w:r>
      <w:r>
        <w:rPr>
          <w:rFonts w:ascii="Times New Roman" w:hAnsi="Times New Roman"/>
          <w:sz w:val="21"/>
        </w:rPr>
        <w:t>[RAZÓN SOCIAL DE LA EMPRESA]</w:t>
      </w:r>
    </w:p>
    <w:p>
      <w:pPr>
        <w:pStyle w:val="Normal"/>
        <w:spacing w:before="40" w:after="60"/>
        <w:rPr/>
      </w:pPr>
      <w:r>
        <w:rPr>
          <w:rFonts w:ascii="Times New Roman" w:hAnsi="Times New Roman"/>
          <w:b/>
          <w:sz w:val="21"/>
        </w:rPr>
        <w:t xml:space="preserve">CIF de la empresa: </w:t>
      </w:r>
      <w:r>
        <w:rPr>
          <w:rFonts w:ascii="Times New Roman" w:hAnsi="Times New Roman"/>
          <w:sz w:val="21"/>
        </w:rPr>
        <w:t>[CIF]</w:t>
      </w:r>
    </w:p>
    <w:p>
      <w:pPr>
        <w:pStyle w:val="Normal"/>
        <w:spacing w:before="40" w:after="60"/>
        <w:rPr/>
      </w:pPr>
      <w:r>
        <w:rPr>
          <w:rFonts w:ascii="Times New Roman" w:hAnsi="Times New Roman"/>
          <w:b/>
          <w:sz w:val="21"/>
        </w:rPr>
        <w:t xml:space="preserve">Lugar y fecha: </w:t>
      </w:r>
      <w:r>
        <w:rPr>
          <w:rFonts w:ascii="Times New Roman" w:hAnsi="Times New Roman"/>
          <w:sz w:val="21"/>
        </w:rPr>
        <w:t>[CIUDAD], a [DÍA] de [MES] de 2026</w:t>
      </w:r>
    </w:p>
    <w:p>
      <w:pPr>
        <w:pStyle w:val="Normal"/>
        <w:rPr/>
      </w:pPr>
      <w:r>
        <w:rPr/>
      </w:r>
    </w:p>
    <w:p>
      <w:pPr>
        <w:pStyle w:val="Normal"/>
        <w:spacing w:before="40" w:after="80"/>
        <w:rPr/>
      </w:pPr>
      <w:r>
        <w:rPr>
          <w:rFonts w:ascii="Times New Roman" w:hAnsi="Times New Roman"/>
          <w:sz w:val="21"/>
        </w:rPr>
        <w:t>Firma y sello de la entidad:</w:t>
      </w:r>
    </w:p>
    <w:p>
      <w:pPr>
        <w:pStyle w:val="Normal"/>
        <w:rPr/>
      </w:pPr>
      <w:r>
        <w:rPr/>
      </w:r>
    </w:p>
    <w:p>
      <w:pPr>
        <w:pStyle w:val="Normal"/>
        <w:rPr/>
      </w:pPr>
      <w:r>
        <w:rPr/>
      </w:r>
    </w:p>
    <w:p>
      <w:pPr>
        <w:pStyle w:val="Normal"/>
        <w:spacing w:before="40" w:after="80"/>
        <w:rPr/>
      </w:pPr>
      <w:r>
        <w:rPr>
          <w:rFonts w:ascii="Times New Roman" w:hAnsi="Times New Roman"/>
          <w:sz w:val="21"/>
        </w:rPr>
        <w:t>____________________________________________</w:t>
      </w:r>
    </w:p>
    <w:p>
      <w:pPr>
        <w:pStyle w:val="Normal"/>
        <w:pBdr>
          <w:bottom w:val="single" w:sz="6" w:space="1" w:color="CCCCCC"/>
        </w:pBdr>
        <w:rPr/>
      </w:pPr>
      <w:r>
        <w:rPr/>
      </w:r>
    </w:p>
    <w:p>
      <w:pPr>
        <w:pStyle w:val="Normal"/>
        <w:spacing w:before="40" w:after="80"/>
        <w:ind w:left="170"/>
        <w:rPr/>
      </w:pPr>
      <w:r>
        <w:rPr>
          <w:rFonts w:ascii="Times New Roman" w:hAnsi="Times New Roman"/>
          <w:i/>
          <w:color w:val="707070"/>
          <w:sz w:val="19"/>
        </w:rPr>
        <w:t xml:space="preserve">▸ </w:t>
      </w:r>
      <w:r>
        <w:rPr>
          <w:rFonts w:ascii="Times New Roman" w:hAnsi="Times New Roman"/>
          <w:i/>
          <w:color w:val="707070"/>
          <w:sz w:val="19"/>
        </w:rPr>
        <w:t>Expediente: GAIX-ESP-2026-004 · Gaia-X España · Plazo de presentación: 28 de agosto de 2026 · Canal: susana.estables@gaiax-spain.com</w:t>
      </w:r>
    </w:p>
    <w:sectPr>
      <w:type w:val="nextPage"/>
      <w:pgSz w:w="12240" w:h="15840"/>
      <w:pgMar w:left="1701" w:right="1417" w:gutter="0" w:header="0" w:top="1417" w:footer="0" w:bottom="1417"/>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mbria">
    <w:charset w:val="01"/>
    <w:family w:val="roman"/>
    <w:pitch w:val="variable"/>
  </w:font>
  <w:font w:name="Calibri">
    <w:charset w:val="01"/>
    <w:family w:val="roman"/>
    <w:pitch w:val="variable"/>
  </w:font>
  <w:font w:name="Courier">
    <w:altName w:val="Courier New"/>
    <w:charset w:val="01"/>
    <w:family w:val="roman"/>
    <w:pitch w:val="variable"/>
  </w:font>
  <w:font w:name="Liberation Sans">
    <w:altName w:val="Arial"/>
    <w:charset w:val="01"/>
    <w:family w:val="roman"/>
    <w:pitch w:val="variable"/>
  </w:font>
  <w:font w:name="Times New Roman">
    <w:charset w:val="01"/>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decimal"/>
      <w:lvlText w:val="%1."/>
      <w:lvlJc w:val="left"/>
      <w:pPr>
        <w:tabs>
          <w:tab w:val="num" w:pos="360"/>
        </w:tabs>
        <w:ind w:left="36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decimal"/>
      <w:lvlText w:val="%1."/>
      <w:lvlJc w:val="left"/>
      <w:pPr>
        <w:tabs>
          <w:tab w:val="num" w:pos="720"/>
        </w:tabs>
        <w:ind w:left="72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decimal"/>
      <w:lvlText w:val="%1."/>
      <w:lvlJc w:val="left"/>
      <w:pPr>
        <w:tabs>
          <w:tab w:val="num" w:pos="1080"/>
        </w:tabs>
        <w:ind w:left="1080" w:hanging="360"/>
      </w:pPr>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52"/>
  <w:defaultTabStop w:val="720"/>
  <w:mailMerge>
    <w:mainDocumentType w:val="formLetters"/>
    <w:dataType w:val="textFile"/>
    <w:query w:val="SELECT * FROM cointributors.dbo.Sheet1$"/>
  </w:mailMerge>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 w:cs="" w:asciiTheme="minorHAnsi" w:cstheme="minorBidi" w:eastAsiaTheme="minorEastAsia" w:hAnsiTheme="minorHAnsi"/>
        <w:sz w:val="22"/>
        <w:szCs w:val="22"/>
        <w:lang w:val="en-US" w:eastAsia="en-US" w:bidi="ar-SA"/>
      </w:rPr>
    </w:rPrDefault>
    <w:pPrDefault>
      <w:pPr>
        <w:suppressAutoHyphens w:val="true"/>
      </w:pPr>
    </w:pPrDefault>
  </w:docDefaults>
  <w:latentStyles w:defLockedState="0" w:defUIPriority="99" w:defSemiHidden="1" w:defUnhideWhenUsed="1" w:defQFormat="0" w:count="276">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fc693f"/>
    <w:pPr>
      <w:widowControl/>
      <w:suppressAutoHyphens w:val="true"/>
      <w:bidi w:val="0"/>
      <w:spacing w:lineRule="auto" w:line="276" w:before="0" w:after="20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fc693f"/>
    <w:pPr>
      <w:keepNext w:val="true"/>
      <w:keepLines/>
      <w:spacing w:before="480" w:after="0"/>
      <w:outlineLvl w:val="0"/>
    </w:pPr>
    <w:rPr>
      <w:rFonts w:ascii="Calibri" w:hAnsi="Calibri" w:eastAsia="" w:c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fc693f"/>
    <w:pPr>
      <w:keepNext w:val="true"/>
      <w:keepLines/>
      <w:spacing w:before="200" w:after="0"/>
      <w:outlineLvl w:val="1"/>
    </w:pPr>
    <w:rPr>
      <w:rFonts w:ascii="Calibri" w:hAnsi="Calibri" w:eastAsia="" w:c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fc693f"/>
    <w:pPr>
      <w:keepNext w:val="true"/>
      <w:keepLines/>
      <w:spacing w:before="200" w:after="0"/>
      <w:outlineLvl w:val="2"/>
    </w:pPr>
    <w:rPr>
      <w:rFonts w:ascii="Calibri" w:hAnsi="Calibri" w:eastAsia="" w:c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semiHidden/>
    <w:unhideWhenUsed/>
    <w:qFormat/>
    <w:rsid w:val="00fc693f"/>
    <w:pPr>
      <w:keepNext w:val="true"/>
      <w:keepLines/>
      <w:spacing w:before="200" w:after="0"/>
      <w:outlineLvl w:val="3"/>
    </w:pPr>
    <w:rPr>
      <w:rFonts w:ascii="Calibri" w:hAnsi="Calibri" w:eastAsia="" w:cs="" w:asciiTheme="majorHAnsi" w:cstheme="majorBidi" w:eastAsiaTheme="majorEastAsia" w:hAnsiTheme="majorHAnsi"/>
      <w:b/>
      <w:bCs/>
      <w:i/>
      <w:iCs/>
      <w:color w:themeColor="accent1" w:val="4F81BD"/>
    </w:rPr>
  </w:style>
  <w:style w:type="paragraph" w:styleId="Heading5">
    <w:name w:val="Heading 5"/>
    <w:basedOn w:val="Normal"/>
    <w:next w:val="Normal"/>
    <w:link w:val="Heading5Char"/>
    <w:uiPriority w:val="9"/>
    <w:semiHidden/>
    <w:unhideWhenUsed/>
    <w:qFormat/>
    <w:rsid w:val="00fc693f"/>
    <w:pPr>
      <w:keepNext w:val="true"/>
      <w:keepLines/>
      <w:spacing w:before="200" w:after="0"/>
      <w:outlineLvl w:val="4"/>
    </w:pPr>
    <w:rPr>
      <w:rFonts w:ascii="Calibri" w:hAnsi="Calibri" w:eastAsia="" w:cs="" w:asciiTheme="majorHAnsi" w:cstheme="majorBidi" w:eastAsiaTheme="majorEastAsia" w:hAnsiTheme="majorHAnsi"/>
      <w:color w:themeColor="accent1" w:themeShade="7f" w:val="243F60"/>
    </w:rPr>
  </w:style>
  <w:style w:type="paragraph" w:styleId="Heading6">
    <w:name w:val="Heading 6"/>
    <w:basedOn w:val="Normal"/>
    <w:next w:val="Normal"/>
    <w:link w:val="Heading6Char"/>
    <w:uiPriority w:val="9"/>
    <w:semiHidden/>
    <w:unhideWhenUsed/>
    <w:qFormat/>
    <w:rsid w:val="00fc693f"/>
    <w:pPr>
      <w:keepNext w:val="true"/>
      <w:keepLines/>
      <w:spacing w:before="200" w:after="0"/>
      <w:outlineLvl w:val="5"/>
    </w:pPr>
    <w:rPr>
      <w:rFonts w:ascii="Calibri" w:hAnsi="Calibri" w:eastAsia="" w:cs="" w:asciiTheme="majorHAnsi" w:cstheme="majorBidi" w:eastAsiaTheme="majorEastAsia" w:hAnsiTheme="majorHAnsi"/>
      <w:i/>
      <w:iCs/>
      <w:color w:themeColor="accent1" w:themeShade="7f" w:val="243F60"/>
    </w:rPr>
  </w:style>
  <w:style w:type="paragraph" w:styleId="Heading7">
    <w:name w:val="Heading 7"/>
    <w:basedOn w:val="Normal"/>
    <w:next w:val="Normal"/>
    <w:link w:val="Heading7Char"/>
    <w:uiPriority w:val="9"/>
    <w:semiHidden/>
    <w:unhideWhenUsed/>
    <w:qFormat/>
    <w:rsid w:val="00fc693f"/>
    <w:pPr>
      <w:keepNext w:val="true"/>
      <w:keepLines/>
      <w:spacing w:before="200" w:after="0"/>
      <w:outlineLvl w:val="6"/>
    </w:pPr>
    <w:rPr>
      <w:rFonts w:ascii="Calibri" w:hAnsi="Calibri" w:eastAsia="" w:cs="" w:asciiTheme="majorHAnsi" w:cstheme="majorBidi" w:eastAsiaTheme="majorEastAsia" w:hAnsiTheme="majorHAnsi"/>
      <w:i/>
      <w:iCs/>
      <w:color w:themeColor="text1" w:themeTint="bf" w:val="404040"/>
    </w:rPr>
  </w:style>
  <w:style w:type="paragraph" w:styleId="Heading8">
    <w:name w:val="Heading 8"/>
    <w:basedOn w:val="Normal"/>
    <w:next w:val="Normal"/>
    <w:link w:val="Heading8Char"/>
    <w:uiPriority w:val="9"/>
    <w:semiHidden/>
    <w:unhideWhenUsed/>
    <w:qFormat/>
    <w:rsid w:val="00fc693f"/>
    <w:pPr>
      <w:keepNext w:val="true"/>
      <w:keepLines/>
      <w:spacing w:before="200" w:after="0"/>
      <w:outlineLvl w:val="7"/>
    </w:pPr>
    <w:rPr>
      <w:rFonts w:ascii="Calibri" w:hAnsi="Calibri" w:eastAsia="" w:cs="" w:asciiTheme="majorHAnsi" w:cstheme="majorBidi" w:eastAsiaTheme="majorEastAsia" w:hAnsiTheme="majorHAnsi"/>
      <w:color w:themeColor="accent1" w:val="4F81BD"/>
      <w:sz w:val="20"/>
      <w:szCs w:val="20"/>
    </w:rPr>
  </w:style>
  <w:style w:type="paragraph" w:styleId="Heading9">
    <w:name w:val="Heading 9"/>
    <w:basedOn w:val="Normal"/>
    <w:next w:val="Normal"/>
    <w:link w:val="Heading9Char"/>
    <w:uiPriority w:val="9"/>
    <w:semiHidden/>
    <w:unhideWhenUsed/>
    <w:qFormat/>
    <w:rsid w:val="00fc693f"/>
    <w:pPr>
      <w:keepNext w:val="true"/>
      <w:keepLines/>
      <w:spacing w:before="200" w:after="0"/>
      <w:outlineLvl w:val="8"/>
    </w:pPr>
    <w:rPr>
      <w:rFonts w:ascii="Calibri" w:hAnsi="Calibri" w:eastAsia="" w:cs="" w:asciiTheme="majorHAnsi" w:cstheme="majorBidi" w:eastAsiaTheme="majorEastAsia" w:hAnsiTheme="majorHAnsi"/>
      <w:i/>
      <w:iCs/>
      <w:color w:themeColor="text1" w:themeTint="bf" w:val="404040"/>
      <w:sz w:val="20"/>
      <w:szCs w:val="20"/>
    </w:rPr>
  </w:style>
  <w:style w:type="character" w:styleId="HeaderChar" w:customStyle="1">
    <w:name w:val="Header Char"/>
    <w:basedOn w:val="DefaultParagraphFont"/>
    <w:link w:val="Header"/>
    <w:uiPriority w:val="99"/>
    <w:qFormat/>
    <w:rsid w:val="00e618bf"/>
    <w:rPr/>
  </w:style>
  <w:style w:type="character" w:styleId="FooterChar" w:customStyle="1">
    <w:name w:val="Footer Char"/>
    <w:basedOn w:val="DefaultParagraphFont"/>
    <w:link w:val="Footer"/>
    <w:uiPriority w:val="99"/>
    <w:qFormat/>
    <w:rsid w:val="00e618bf"/>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fc693f"/>
    <w:rPr>
      <w:rFonts w:ascii="Calibri" w:hAnsi="Calibri" w:eastAsia="" w:c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link w:val="Heading2"/>
    <w:uiPriority w:val="9"/>
    <w:qFormat/>
    <w:rsid w:val="00fc693f"/>
    <w:rPr>
      <w:rFonts w:ascii="Calibri" w:hAnsi="Calibri" w:eastAsia="" w:c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link w:val="Heading3"/>
    <w:uiPriority w:val="9"/>
    <w:qFormat/>
    <w:rsid w:val="00fc693f"/>
    <w:rPr>
      <w:rFonts w:ascii="Calibri" w:hAnsi="Calibri" w:eastAsia="" w:cs="" w:asciiTheme="majorHAnsi" w:cstheme="majorBidi" w:eastAsiaTheme="majorEastAsia" w:hAnsiTheme="majorHAnsi"/>
      <w:b/>
      <w:bCs/>
      <w:color w:themeColor="accent1" w:val="4F81BD"/>
    </w:rPr>
  </w:style>
  <w:style w:type="character" w:styleId="TitleChar" w:customStyle="1">
    <w:name w:val="Title Char"/>
    <w:basedOn w:val="DefaultParagraphFont"/>
    <w:link w:val="Title"/>
    <w:uiPriority w:val="10"/>
    <w:qFormat/>
    <w:rsid w:val="00fc693f"/>
    <w:rPr>
      <w:rFonts w:ascii="Calibri" w:hAnsi="Calibri" w:eastAsia="" w:cs="" w:asciiTheme="majorHAnsi" w:cstheme="majorBidi" w:eastAsiaTheme="majorEastAsia" w:hAnsiTheme="majorHAnsi"/>
      <w:color w:themeColor="text2" w:themeShade="bf" w:val="17365D"/>
      <w:spacing w:val="5"/>
      <w:kern w:val="2"/>
      <w:sz w:val="52"/>
      <w:szCs w:val="52"/>
    </w:rPr>
  </w:style>
  <w:style w:type="character" w:styleId="SubtitleChar" w:customStyle="1">
    <w:name w:val="Subtitle Char"/>
    <w:basedOn w:val="DefaultParagraphFont"/>
    <w:link w:val="Subtitle"/>
    <w:uiPriority w:val="11"/>
    <w:qFormat/>
    <w:rsid w:val="00fc693f"/>
    <w:rPr>
      <w:rFonts w:ascii="Calibri" w:hAnsi="Calibri" w:eastAsia="" w:cs="" w:asciiTheme="majorHAnsi" w:cstheme="majorBidi" w:eastAsiaTheme="majorEastAsia" w:hAnsiTheme="majorHAnsi"/>
      <w:i/>
      <w:iCs/>
      <w:color w:themeColor="accent1" w:val="4F81BD"/>
      <w:spacing w:val="15"/>
      <w:sz w:val="24"/>
      <w:szCs w:val="24"/>
    </w:rPr>
  </w:style>
  <w:style w:type="character" w:styleId="BodyTextChar" w:customStyle="1">
    <w:name w:val="Body Text Char"/>
    <w:basedOn w:val="DefaultParagraphFont"/>
    <w:uiPriority w:val="99"/>
    <w:qFormat/>
    <w:rsid w:val="00aa1d8d"/>
    <w:rPr/>
  </w:style>
  <w:style w:type="character" w:styleId="BodyText2Char" w:customStyle="1">
    <w:name w:val="Body Text 2 Char"/>
    <w:basedOn w:val="DefaultParagraphFont"/>
    <w:link w:val="BodyText2"/>
    <w:uiPriority w:val="99"/>
    <w:qFormat/>
    <w:rsid w:val="00aa1d8d"/>
    <w:rPr/>
  </w:style>
  <w:style w:type="character" w:styleId="BodyText3Char" w:customStyle="1">
    <w:name w:val="Body Text 3 Char"/>
    <w:basedOn w:val="DefaultParagraphFont"/>
    <w:link w:val="BodyText3"/>
    <w:uiPriority w:val="99"/>
    <w:qFormat/>
    <w:rsid w:val="00aa1d8d"/>
    <w:rPr>
      <w:sz w:val="16"/>
      <w:szCs w:val="16"/>
    </w:rPr>
  </w:style>
  <w:style w:type="character" w:styleId="MacroTextChar" w:customStyle="1">
    <w:name w:val="Macro Text Char"/>
    <w:basedOn w:val="DefaultParagraphFont"/>
    <w:link w:val="macro"/>
    <w:uiPriority w:val="99"/>
    <w:qFormat/>
    <w:rsid w:val="0029639d"/>
    <w:rPr>
      <w:rFonts w:ascii="Courier" w:hAnsi="Courier"/>
      <w:sz w:val="20"/>
      <w:szCs w:val="20"/>
    </w:rPr>
  </w:style>
  <w:style w:type="character" w:styleId="QuoteChar" w:customStyle="1">
    <w:name w:val="Quote Char"/>
    <w:basedOn w:val="DefaultParagraphFont"/>
    <w:link w:val="Quote"/>
    <w:uiPriority w:val="29"/>
    <w:qFormat/>
    <w:rsid w:val="00fc693f"/>
    <w:rPr>
      <w:i/>
      <w:iCs/>
      <w:color w:themeColor="text1" w:val="000000"/>
    </w:rPr>
  </w:style>
  <w:style w:type="character" w:styleId="Heading4Char" w:customStyle="1">
    <w:name w:val="Heading 4 Char"/>
    <w:basedOn w:val="DefaultParagraphFont"/>
    <w:link w:val="Heading4"/>
    <w:uiPriority w:val="9"/>
    <w:semiHidden/>
    <w:qFormat/>
    <w:rsid w:val="00fc693f"/>
    <w:rPr>
      <w:rFonts w:ascii="Calibri" w:hAnsi="Calibri" w:eastAsia="" w:cs="" w:asciiTheme="majorHAnsi" w:cstheme="majorBidi" w:eastAsiaTheme="majorEastAsia" w:hAnsiTheme="majorHAnsi"/>
      <w:b/>
      <w:bCs/>
      <w:i/>
      <w:iCs/>
      <w:color w:themeColor="accent1" w:val="4F81BD"/>
    </w:rPr>
  </w:style>
  <w:style w:type="character" w:styleId="Heading5Char" w:customStyle="1">
    <w:name w:val="Heading 5 Char"/>
    <w:basedOn w:val="DefaultParagraphFont"/>
    <w:link w:val="Heading5"/>
    <w:uiPriority w:val="9"/>
    <w:semiHidden/>
    <w:qFormat/>
    <w:rsid w:val="00fc693f"/>
    <w:rPr>
      <w:rFonts w:ascii="Calibri" w:hAnsi="Calibri" w:eastAsia="" w:cs="" w:asciiTheme="majorHAnsi" w:cstheme="majorBidi" w:eastAsiaTheme="majorEastAsia" w:hAnsiTheme="majorHAnsi"/>
      <w:color w:themeColor="accent1" w:themeShade="7f" w:val="243F60"/>
    </w:rPr>
  </w:style>
  <w:style w:type="character" w:styleId="Heading6Char" w:customStyle="1">
    <w:name w:val="Heading 6 Char"/>
    <w:basedOn w:val="DefaultParagraphFont"/>
    <w:link w:val="Heading6"/>
    <w:uiPriority w:val="9"/>
    <w:semiHidden/>
    <w:qFormat/>
    <w:rsid w:val="00fc693f"/>
    <w:rPr>
      <w:rFonts w:ascii="Calibri" w:hAnsi="Calibri" w:eastAsia="" w:cs="" w:asciiTheme="majorHAnsi" w:cstheme="majorBidi" w:eastAsiaTheme="majorEastAsia" w:hAnsiTheme="majorHAnsi"/>
      <w:i/>
      <w:iCs/>
      <w:color w:themeColor="accent1" w:themeShade="7f" w:val="243F60"/>
    </w:rPr>
  </w:style>
  <w:style w:type="character" w:styleId="Heading7Char" w:customStyle="1">
    <w:name w:val="Heading 7 Char"/>
    <w:basedOn w:val="DefaultParagraphFont"/>
    <w:link w:val="Heading7"/>
    <w:uiPriority w:val="9"/>
    <w:semiHidden/>
    <w:qFormat/>
    <w:rsid w:val="00fc693f"/>
    <w:rPr>
      <w:rFonts w:ascii="Calibri" w:hAnsi="Calibri" w:eastAsia="" w:cs="" w:asciiTheme="majorHAnsi" w:cstheme="majorBidi" w:eastAsiaTheme="majorEastAsia" w:hAnsiTheme="majorHAnsi"/>
      <w:i/>
      <w:iCs/>
      <w:color w:themeColor="text1" w:themeTint="bf" w:val="404040"/>
    </w:rPr>
  </w:style>
  <w:style w:type="character" w:styleId="Heading8Char" w:customStyle="1">
    <w:name w:val="Heading 8 Char"/>
    <w:basedOn w:val="DefaultParagraphFont"/>
    <w:link w:val="Heading8"/>
    <w:uiPriority w:val="9"/>
    <w:semiHidden/>
    <w:qFormat/>
    <w:rsid w:val="00fc693f"/>
    <w:rPr>
      <w:rFonts w:ascii="Calibri" w:hAnsi="Calibri" w:eastAsia="" w:cs="" w:asciiTheme="majorHAnsi" w:cstheme="majorBidi" w:eastAsiaTheme="majorEastAsia" w:hAnsiTheme="majorHAnsi"/>
      <w:color w:themeColor="accent1" w:val="4F81BD"/>
      <w:sz w:val="20"/>
      <w:szCs w:val="20"/>
    </w:rPr>
  </w:style>
  <w:style w:type="character" w:styleId="Heading9Char" w:customStyle="1">
    <w:name w:val="Heading 9 Char"/>
    <w:basedOn w:val="DefaultParagraphFont"/>
    <w:link w:val="Heading9"/>
    <w:uiPriority w:val="9"/>
    <w:semiHidden/>
    <w:qFormat/>
    <w:rsid w:val="00fc693f"/>
    <w:rPr>
      <w:rFonts w:ascii="Calibri" w:hAnsi="Calibri" w:eastAsia="" w:cs="" w:asciiTheme="majorHAnsi" w:cstheme="majorBidi" w:eastAsiaTheme="majorEastAsia" w:hAnsiTheme="majorHAnsi"/>
      <w:i/>
      <w:iCs/>
      <w:color w:themeColor="text1" w:themeTint="bf" w:val="404040"/>
      <w:sz w:val="20"/>
      <w:szCs w:val="20"/>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character" w:styleId="IntenseQuoteChar" w:customStyle="1">
    <w:name w:val="Intense Quote Char"/>
    <w:basedOn w:val="DefaultParagraphFont"/>
    <w:link w:val="IntenseQuote"/>
    <w:uiPriority w:val="30"/>
    <w:qFormat/>
    <w:rsid w:val="00fc693f"/>
    <w:rPr>
      <w:b/>
      <w:bCs/>
      <w:i/>
      <w:iCs/>
      <w:color w:themeColor="accent1" w:val="4F81BD"/>
    </w:rPr>
  </w:style>
  <w:style w:type="character" w:styleId="SubtleEmphasis">
    <w:name w:val="Subtle Emphasis"/>
    <w:basedOn w:val="DefaultParagraphFont"/>
    <w:uiPriority w:val="19"/>
    <w:qFormat/>
    <w:rsid w:val="00fc693f"/>
    <w:rPr>
      <w:i/>
      <w:iCs/>
      <w:color w:themeColor="text1" w:themeTint="7f" w:val="808080"/>
    </w:rPr>
  </w:style>
  <w:style w:type="character" w:styleId="IntenseEmphasis">
    <w:name w:val="Intense Emphasis"/>
    <w:basedOn w:val="DefaultParagraphFont"/>
    <w:uiPriority w:val="21"/>
    <w:qFormat/>
    <w:rsid w:val="00fc693f"/>
    <w:rPr>
      <w:b/>
      <w:bCs/>
      <w:i/>
      <w:iCs/>
      <w:color w:themeColor="accent1" w:val="4F81BD"/>
    </w:rPr>
  </w:style>
  <w:style w:type="character" w:styleId="SubtleReference">
    <w:name w:val="Subtle Reference"/>
    <w:basedOn w:val="DefaultParagraphFont"/>
    <w:uiPriority w:val="31"/>
    <w:qFormat/>
    <w:rsid w:val="00fc693f"/>
    <w:rPr>
      <w:smallCaps/>
      <w:color w:themeColor="accent2" w:val="C0504D"/>
      <w:u w:val="single"/>
    </w:rPr>
  </w:style>
  <w:style w:type="character" w:styleId="IntenseReference">
    <w:name w:val="Intense Reference"/>
    <w:basedOn w:val="DefaultParagraphFont"/>
    <w:uiPriority w:val="32"/>
    <w:qFormat/>
    <w:rsid w:val="00fc693f"/>
    <w:rPr>
      <w:b/>
      <w:bCs/>
      <w:smallCaps/>
      <w:color w:themeColor="accent2" w:val="C0504D"/>
      <w:spacing w:val="5"/>
      <w:u w:val="single"/>
    </w:rPr>
  </w:style>
  <w:style w:type="character" w:styleId="BookTitle">
    <w:name w:val="Book Title"/>
    <w:basedOn w:val="DefaultParagraphFont"/>
    <w:uiPriority w:val="33"/>
    <w:qFormat/>
    <w:rsid w:val="00fc693f"/>
    <w:rPr>
      <w:b/>
      <w:bCs/>
      <w:smallCaps/>
      <w:spacing w:val="5"/>
    </w:rPr>
  </w:style>
  <w:style w:type="paragraph" w:styleId="Heading">
    <w:name w:val="Heading"/>
    <w:basedOn w:val="Normal"/>
    <w:next w:val="BodyText"/>
    <w:qFormat/>
    <w:pPr>
      <w:keepNext w:val="true"/>
      <w:spacing w:before="240" w:after="120"/>
    </w:pPr>
    <w:rPr>
      <w:rFonts w:ascii="Liberation Sans" w:hAnsi="Liberation Sans" w:eastAsia="Noto Sans CJK SC" w:cs="Noto Sans Devanagari"/>
      <w:sz w:val="28"/>
      <w:szCs w:val="28"/>
    </w:rPr>
  </w:style>
  <w:style w:type="paragraph" w:styleId="BodyText">
    <w:name w:val="Body Text"/>
    <w:basedOn w:val="Normal"/>
    <w:link w:val="BodyTextChar"/>
    <w:uiPriority w:val="99"/>
    <w:unhideWhenUsed/>
    <w:rsid w:val="00aa1d8d"/>
    <w:pPr>
      <w:spacing w:before="0" w:after="120"/>
    </w:pPr>
    <w:rPr/>
  </w:style>
  <w:style w:type="paragraph" w:styleId="List">
    <w:name w:val="List"/>
    <w:basedOn w:val="Normal"/>
    <w:uiPriority w:val="99"/>
    <w:unhideWhenUsed/>
    <w:rsid w:val="00aa1d8d"/>
    <w:pPr>
      <w:spacing w:before="0" w:after="200"/>
      <w:ind w:hanging="360" w:left="360"/>
      <w:contextualSpacing/>
    </w:pPr>
    <w:rPr/>
  </w:style>
  <w:style w:type="paragraph" w:styleId="Caption">
    <w:name w:val="Caption"/>
    <w:basedOn w:val="Normal"/>
    <w:next w:val="Normal"/>
    <w:uiPriority w:val="35"/>
    <w:semiHidden/>
    <w:unhideWhenUsed/>
    <w:qFormat/>
    <w:rsid w:val="00fc693f"/>
    <w:pPr>
      <w:spacing w:lineRule="auto" w:line="240"/>
    </w:pPr>
    <w:rPr>
      <w:b/>
      <w:bCs/>
      <w:color w:themeColor="accent1" w:val="4F81BD"/>
      <w:sz w:val="18"/>
      <w:szCs w:val="18"/>
    </w:rPr>
  </w:style>
  <w:style w:type="paragraph" w:styleId="Index">
    <w:name w:val="Index"/>
    <w:basedOn w:val="Normal"/>
    <w:qFormat/>
    <w:pPr>
      <w:suppressLineNumbers/>
    </w:pPr>
    <w:rPr>
      <w:rFonts w:cs="Noto Sans Devanagari"/>
    </w:rPr>
  </w:style>
  <w:style w:type="paragraph" w:styleId="HeaderandFooter">
    <w:name w:val="Header and Footer"/>
    <w:basedOn w:val="Normal"/>
    <w:qFormat/>
    <w:pPr/>
    <w:rPr/>
  </w:style>
  <w:style w:type="paragraph" w:styleId="Header">
    <w:name w:val="Header"/>
    <w:basedOn w:val="Normal"/>
    <w:link w:val="HeaderChar"/>
    <w:uiPriority w:val="99"/>
    <w:unhideWhenUsed/>
    <w:rsid w:val="00e618bf"/>
    <w:pPr>
      <w:tabs>
        <w:tab w:val="clear" w:pos="720"/>
        <w:tab w:val="center" w:pos="4680" w:leader="none"/>
        <w:tab w:val="right" w:pos="9360" w:leader="none"/>
      </w:tabs>
      <w:spacing w:lineRule="auto" w:line="240" w:before="0" w:after="0"/>
    </w:pPr>
    <w:rPr/>
  </w:style>
  <w:style w:type="paragraph" w:styleId="Footer">
    <w:name w:val="Footer"/>
    <w:basedOn w:val="Normal"/>
    <w:link w:val="FooterChar"/>
    <w:uiPriority w:val="99"/>
    <w:unhideWhenUsed/>
    <w:rsid w:val="00e618bf"/>
    <w:pPr>
      <w:tabs>
        <w:tab w:val="clear" w:pos="720"/>
        <w:tab w:val="center" w:pos="4680" w:leader="none"/>
        <w:tab w:val="right" w:pos="9360" w:leader="none"/>
      </w:tabs>
      <w:spacing w:lineRule="auto" w:line="240" w:before="0" w:after="0"/>
    </w:pPr>
    <w:rPr/>
  </w:style>
  <w:style w:type="paragraph" w:styleId="NoSpacing">
    <w:name w:val="No Spacing"/>
    <w:uiPriority w:val="1"/>
    <w:qFormat/>
    <w:rsid w:val="00fc693f"/>
    <w:pPr>
      <w:widowControl/>
      <w:suppressAutoHyphens w:val="true"/>
      <w:bidi w:val="0"/>
      <w:spacing w:lineRule="auto" w:line="240" w:before="0" w:after="0"/>
      <w:jc w:val="left"/>
    </w:pPr>
    <w:rPr>
      <w:rFonts w:ascii="Cambria" w:hAnsi="Cambria" w:eastAsia="" w:cs="" w:asciiTheme="minorHAnsi" w:cstheme="minorBidi" w:eastAsiaTheme="minorEastAsia" w:hAnsiTheme="minorHAnsi"/>
      <w:color w:val="auto"/>
      <w:kern w:val="0"/>
      <w:sz w:val="22"/>
      <w:szCs w:val="22"/>
      <w:lang w:val="en-US" w:eastAsia="en-US" w:bidi="ar-SA"/>
    </w:rPr>
  </w:style>
  <w:style w:type="paragraph" w:styleId="Title">
    <w:name w:val="Title"/>
    <w:basedOn w:val="Normal"/>
    <w:next w:val="Normal"/>
    <w:link w:val="TitleChar"/>
    <w:uiPriority w:val="10"/>
    <w:qFormat/>
    <w:rsid w:val="00fc693f"/>
    <w:pPr>
      <w:pBdr>
        <w:bottom w:val="single" w:sz="8" w:space="4" w:color="4F81BD" w:themeColor="accent1"/>
      </w:pBdr>
      <w:spacing w:lineRule="auto" w:line="240" w:before="0" w:after="300"/>
      <w:contextualSpacing/>
    </w:pPr>
    <w:rPr>
      <w:rFonts w:ascii="Calibri" w:hAnsi="Calibri" w:eastAsia="" w:cs="" w:asciiTheme="majorHAnsi" w:cstheme="majorBidi" w:eastAsiaTheme="majorEastAsia" w:hAnsiTheme="majorHAnsi"/>
      <w:color w:themeColor="text2" w:themeShade="bf" w:val="17365D"/>
      <w:spacing w:val="5"/>
      <w:kern w:val="2"/>
      <w:sz w:val="52"/>
      <w:szCs w:val="52"/>
    </w:rPr>
  </w:style>
  <w:style w:type="paragraph" w:styleId="Subtitle">
    <w:name w:val="Subtitle"/>
    <w:basedOn w:val="Normal"/>
    <w:next w:val="Normal"/>
    <w:link w:val="SubtitleChar"/>
    <w:uiPriority w:val="11"/>
    <w:qFormat/>
    <w:rsid w:val="00fc693f"/>
    <w:pPr/>
    <w:rPr>
      <w:rFonts w:ascii="Calibri" w:hAnsi="Calibri" w:eastAsia="" w:cs="" w:asciiTheme="majorHAnsi" w:cstheme="majorBidi" w:eastAsiaTheme="majorEastAsia" w:hAnsiTheme="majorHAnsi"/>
      <w:i/>
      <w:iCs/>
      <w:color w:themeColor="accent1" w:val="4F81BD"/>
      <w:spacing w:val="15"/>
      <w:sz w:val="24"/>
      <w:szCs w:val="24"/>
    </w:rPr>
  </w:style>
  <w:style w:type="paragraph" w:styleId="ListParagraph">
    <w:name w:val="List Paragraph"/>
    <w:basedOn w:val="Normal"/>
    <w:uiPriority w:val="34"/>
    <w:qFormat/>
    <w:rsid w:val="00fc693f"/>
    <w:pPr>
      <w:spacing w:before="0" w:after="200"/>
      <w:ind w:left="720"/>
      <w:contextualSpacing/>
    </w:pPr>
    <w:rPr/>
  </w:style>
  <w:style w:type="paragraph" w:styleId="BodyText2">
    <w:name w:val="Body Text 2"/>
    <w:basedOn w:val="Normal"/>
    <w:link w:val="BodyText2Char"/>
    <w:uiPriority w:val="99"/>
    <w:unhideWhenUsed/>
    <w:qFormat/>
    <w:rsid w:val="00aa1d8d"/>
    <w:pPr>
      <w:spacing w:lineRule="auto" w:line="480" w:before="0" w:after="120"/>
    </w:pPr>
    <w:rPr/>
  </w:style>
  <w:style w:type="paragraph" w:styleId="BodyText3">
    <w:name w:val="Body Text 3"/>
    <w:basedOn w:val="Normal"/>
    <w:link w:val="BodyText3Char"/>
    <w:uiPriority w:val="99"/>
    <w:unhideWhenUsed/>
    <w:qFormat/>
    <w:rsid w:val="00aa1d8d"/>
    <w:pPr>
      <w:spacing w:before="0" w:after="120"/>
    </w:pPr>
    <w:rPr>
      <w:sz w:val="16"/>
      <w:szCs w:val="16"/>
    </w:rPr>
  </w:style>
  <w:style w:type="paragraph" w:styleId="List2">
    <w:name w:val="List 2"/>
    <w:basedOn w:val="Normal"/>
    <w:uiPriority w:val="99"/>
    <w:unhideWhenUsed/>
    <w:qFormat/>
    <w:rsid w:val="00326f90"/>
    <w:pPr>
      <w:spacing w:before="0" w:after="200"/>
      <w:ind w:hanging="360" w:left="720"/>
      <w:contextualSpacing/>
    </w:pPr>
    <w:rPr/>
  </w:style>
  <w:style w:type="paragraph" w:styleId="List3">
    <w:name w:val="List 3"/>
    <w:basedOn w:val="Normal"/>
    <w:uiPriority w:val="99"/>
    <w:unhideWhenUsed/>
    <w:qFormat/>
    <w:rsid w:val="00326f90"/>
    <w:pPr>
      <w:spacing w:before="0" w:after="200"/>
      <w:ind w:hanging="360" w:left="1080"/>
      <w:contextualSpacing/>
    </w:pPr>
    <w:rPr/>
  </w:style>
  <w:style w:type="paragraph" w:styleId="ListBullet">
    <w:name w:val="List Bullet"/>
    <w:basedOn w:val="Normal"/>
    <w:uiPriority w:val="99"/>
    <w:unhideWhenUsed/>
    <w:rsid w:val="00326f90"/>
    <w:pPr>
      <w:numPr>
        <w:ilvl w:val="0"/>
        <w:numId w:val="1"/>
      </w:numPr>
      <w:spacing w:before="0" w:after="200"/>
      <w:contextualSpacing/>
    </w:pPr>
    <w:rPr/>
  </w:style>
  <w:style w:type="paragraph" w:styleId="ListBullet2">
    <w:name w:val="List Bullet 2"/>
    <w:basedOn w:val="Normal"/>
    <w:uiPriority w:val="99"/>
    <w:unhideWhenUsed/>
    <w:rsid w:val="00326f90"/>
    <w:pPr>
      <w:numPr>
        <w:ilvl w:val="0"/>
        <w:numId w:val="2"/>
      </w:numPr>
      <w:spacing w:before="0" w:after="200"/>
      <w:contextualSpacing/>
    </w:pPr>
    <w:rPr/>
  </w:style>
  <w:style w:type="paragraph" w:styleId="ListBullet3">
    <w:name w:val="List Bullet 3"/>
    <w:basedOn w:val="Normal"/>
    <w:uiPriority w:val="99"/>
    <w:unhideWhenUsed/>
    <w:rsid w:val="00326f90"/>
    <w:pPr>
      <w:numPr>
        <w:ilvl w:val="0"/>
        <w:numId w:val="3"/>
      </w:numPr>
      <w:spacing w:before="0" w:after="200"/>
      <w:contextualSpacing/>
    </w:pPr>
    <w:rPr/>
  </w:style>
  <w:style w:type="paragraph" w:styleId="ListNumber">
    <w:name w:val="List Number"/>
    <w:basedOn w:val="Normal"/>
    <w:uiPriority w:val="99"/>
    <w:unhideWhenUsed/>
    <w:rsid w:val="00326f90"/>
    <w:pPr>
      <w:numPr>
        <w:ilvl w:val="0"/>
        <w:numId w:val="4"/>
      </w:numPr>
      <w:spacing w:before="0" w:after="200"/>
      <w:contextualSpacing/>
    </w:pPr>
    <w:rPr/>
  </w:style>
  <w:style w:type="paragraph" w:styleId="ListNumber2">
    <w:name w:val="List Number 2"/>
    <w:basedOn w:val="Normal"/>
    <w:uiPriority w:val="99"/>
    <w:unhideWhenUsed/>
    <w:rsid w:val="0029639d"/>
    <w:pPr>
      <w:numPr>
        <w:ilvl w:val="0"/>
        <w:numId w:val="5"/>
      </w:numPr>
      <w:spacing w:before="0" w:after="200"/>
      <w:contextualSpacing/>
    </w:pPr>
    <w:rPr/>
  </w:style>
  <w:style w:type="paragraph" w:styleId="ListNumber3">
    <w:name w:val="List Number 3"/>
    <w:basedOn w:val="Normal"/>
    <w:uiPriority w:val="99"/>
    <w:unhideWhenUsed/>
    <w:rsid w:val="0029639d"/>
    <w:pPr>
      <w:numPr>
        <w:ilvl w:val="0"/>
        <w:numId w:val="6"/>
      </w:numPr>
      <w:spacing w:before="0" w:after="200"/>
      <w:contextualSpacing/>
    </w:pPr>
    <w:rPr/>
  </w:style>
  <w:style w:type="paragraph" w:styleId="ListContinue">
    <w:name w:val="List Continue"/>
    <w:basedOn w:val="Normal"/>
    <w:uiPriority w:val="99"/>
    <w:unhideWhenUsed/>
    <w:rsid w:val="0029639d"/>
    <w:pPr>
      <w:spacing w:before="0" w:after="120"/>
      <w:ind w:left="360"/>
      <w:contextualSpacing/>
    </w:pPr>
    <w:rPr/>
  </w:style>
  <w:style w:type="paragraph" w:styleId="ListContinue2">
    <w:name w:val="List Continue 2"/>
    <w:basedOn w:val="Normal"/>
    <w:uiPriority w:val="99"/>
    <w:unhideWhenUsed/>
    <w:rsid w:val="0029639d"/>
    <w:pPr>
      <w:spacing w:before="0" w:after="120"/>
      <w:ind w:left="720"/>
      <w:contextualSpacing/>
    </w:pPr>
    <w:rPr/>
  </w:style>
  <w:style w:type="paragraph" w:styleId="ListContinue3">
    <w:name w:val="List Continue 3"/>
    <w:basedOn w:val="Normal"/>
    <w:uiPriority w:val="99"/>
    <w:unhideWhenUsed/>
    <w:rsid w:val="0029639d"/>
    <w:pPr>
      <w:spacing w:before="0" w:after="120"/>
      <w:ind w:left="1080"/>
      <w:contextualSpacing/>
    </w:pPr>
    <w:rPr/>
  </w:style>
  <w:style w:type="paragraph" w:styleId="macro">
    <w:name w:val="macro"/>
    <w:link w:val="MacroTextChar"/>
    <w:uiPriority w:val="99"/>
    <w:unhideWhenUsed/>
    <w:qFormat/>
    <w:rsid w:val="0029639d"/>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bidi w:val="0"/>
      <w:spacing w:lineRule="auto" w:line="276" w:before="0" w:after="200"/>
      <w:jc w:val="left"/>
    </w:pPr>
    <w:rPr>
      <w:rFonts w:ascii="Courier" w:hAnsi="Courier" w:eastAsia="" w:cs="" w:cstheme="minorBidi" w:eastAsiaTheme="minorEastAsia"/>
      <w:color w:val="auto"/>
      <w:kern w:val="0"/>
      <w:sz w:val="20"/>
      <w:szCs w:val="20"/>
      <w:lang w:val="en-US" w:eastAsia="en-US" w:bidi="ar-SA"/>
    </w:rPr>
  </w:style>
  <w:style w:type="paragraph" w:styleId="Quote">
    <w:name w:val="Quote"/>
    <w:basedOn w:val="Normal"/>
    <w:next w:val="Normal"/>
    <w:link w:val="QuoteChar"/>
    <w:uiPriority w:val="29"/>
    <w:qFormat/>
    <w:rsid w:val="00fc693f"/>
    <w:pPr/>
    <w:rPr>
      <w:i/>
      <w:iCs/>
      <w:color w:themeColor="text1"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themeColor="accent1" w:val="4F81BD"/>
    </w:rPr>
  </w:style>
  <w:style w:type="paragraph" w:styleId="IndexHeading">
    <w:name w:val="Index Heading"/>
    <w:basedOn w:val="Heading"/>
    <w:pPr/>
    <w:rPr/>
  </w:style>
  <w:style w:type="paragraph" w:styleId="TOCHeading">
    <w:name w:val="TOC Heading"/>
    <w:basedOn w:val="Heading1"/>
    <w:next w:val="Normal"/>
    <w:uiPriority w:val="39"/>
    <w:semiHidden/>
    <w:unhideWhenUsed/>
    <w:qFormat/>
    <w:rsid w:val="00fc693f"/>
    <w:pPr>
      <w:outlineLvl w:val="9"/>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themeColor="text1" w:themeShade="bf"/>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themeColor="accent1" w:themeShade="bf"/>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themeColor="accent2" w:themeShade="bf"/>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themeColor="accent3" w:themeShade="bf"/>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themeColor="accent4" w:themeShade="bf"/>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themeColor="accent5" w:themeShade="bf"/>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themeColor="accent6" w:themeShade="bf"/>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Pr/>
    </w:tblStylePr>
    <w:tblStylePr w:type="lastCol">
      <w:rPr>
        <w:b/>
        <w:bCs/>
      </w:rPr>
      <w:tbl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Pr/>
    </w:tblStylePr>
    <w:tblStylePr w:type="lastCol">
      <w:rPr>
        <w:b/>
        <w:bCs/>
      </w:rPr>
      <w:tbl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Pr/>
    </w:tblStylePr>
    <w:tblStylePr w:type="lastCol">
      <w:rPr>
        <w:b/>
        <w:bCs/>
      </w:rPr>
      <w:tbl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Pr/>
    </w:tblStylePr>
    <w:tblStylePr w:type="lastCol">
      <w:rPr>
        <w:b/>
        <w:bCs/>
      </w:rPr>
      <w:tbl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Pr/>
    </w:tblStylePr>
    <w:tblStylePr w:type="lastCol">
      <w:rPr>
        <w:b/>
        <w:bCs/>
      </w:rPr>
      <w:tbl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Pr/>
    </w:tblStylePr>
    <w:tblStylePr w:type="lastCol">
      <w:rPr>
        <w:b/>
        <w:bCs/>
      </w:rPr>
      <w:tbl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Pr/>
    </w:tblStylePr>
    <w:tblStylePr w:type="lastCol">
      <w:rPr>
        <w:b/>
        <w:bCs/>
      </w:rPr>
      <w:tbl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Pr/>
    </w:tblStylePr>
    <w:tblStylePr w:type="lastCol">
      <w:rPr>
        <w:b/>
        <w:bCs/>
      </w:rPr>
      <w:tbl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404040" w:themeColor="text1" w:sz="8" w:space="0"/>
          <w:left w:val="single" w:color="404040" w:themeColor="text1" w:sz="8" w:space="0"/>
          <w:bottom w:val="single" w:color="404040" w:themeColor="text1" w:sz="8" w:space="0"/>
          <w:right w:val="single" w:color="404040" w:themeColor="text1"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sz="6" w:space="0"/>
          <w:left w:val="single" w:color="404040" w:themeColor="text1" w:sz="8" w:space="0"/>
          <w:bottom w:val="single" w:color="404040" w:themeColor="text1" w:sz="8" w:space="0"/>
          <w:right w:val="single" w:color="404040" w:themeColor="text1" w:sz="8" w:space="0"/>
          <w:insideH w:val="nil"/>
          <w:insideV w:val="nil"/>
        </w:tcBorders>
      </w:tcPr>
    </w:tblStylePr>
    <w:tblStylePr w:type="firstCol">
      <w:rPr>
        <w:b/>
        <w:bCs/>
      </w:rPr>
      <w:tblPr/>
    </w:tblStylePr>
    <w:tblStylePr w:type="lastCol">
      <w:rPr>
        <w:b/>
        <w:bCs/>
      </w:rPr>
      <w:tbl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BA0CD" w:themeColor="accent1" w:sz="8" w:space="0"/>
          <w:left w:val="single" w:color="7BA0CD" w:themeColor="accent1" w:sz="8" w:space="0"/>
          <w:bottom w:val="single" w:color="7BA0CD" w:themeColor="accent1" w:sz="8" w:space="0"/>
          <w:right w:val="single" w:color="7BA0CD" w:themeColor="accent1"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sz="6" w:space="0"/>
          <w:left w:val="single" w:color="7BA0CD" w:themeColor="accent1" w:sz="8" w:space="0"/>
          <w:bottom w:val="single" w:color="7BA0CD" w:themeColor="accent1" w:sz="8" w:space="0"/>
          <w:right w:val="single" w:color="7BA0CD" w:themeColor="accent1" w:sz="8" w:space="0"/>
          <w:insideH w:val="nil"/>
          <w:insideV w:val="nil"/>
        </w:tcBorders>
      </w:tcPr>
    </w:tblStylePr>
    <w:tblStylePr w:type="firstCol">
      <w:rPr>
        <w:b/>
        <w:bCs/>
      </w:rPr>
      <w:tblPr/>
    </w:tblStylePr>
    <w:tblStylePr w:type="lastCol">
      <w:rPr>
        <w:b/>
        <w:bCs/>
      </w:rPr>
      <w:tbl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CF7B79" w:themeColor="accent2" w:sz="8" w:space="0"/>
          <w:left w:val="single" w:color="CF7B79" w:themeColor="accent2" w:sz="8" w:space="0"/>
          <w:bottom w:val="single" w:color="CF7B79" w:themeColor="accent2" w:sz="8" w:space="0"/>
          <w:right w:val="single" w:color="CF7B79" w:themeColor="accent2"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sz="6" w:space="0"/>
          <w:left w:val="single" w:color="CF7B79" w:themeColor="accent2" w:sz="8" w:space="0"/>
          <w:bottom w:val="single" w:color="CF7B79" w:themeColor="accent2" w:sz="8" w:space="0"/>
          <w:right w:val="single" w:color="CF7B79" w:themeColor="accent2" w:sz="8" w:space="0"/>
          <w:insideH w:val="nil"/>
          <w:insideV w:val="nil"/>
        </w:tcBorders>
      </w:tcPr>
    </w:tblStylePr>
    <w:tblStylePr w:type="firstCol">
      <w:rPr>
        <w:b/>
        <w:bCs/>
      </w:rPr>
      <w:tblPr/>
    </w:tblStylePr>
    <w:tblStylePr w:type="lastCol">
      <w:rPr>
        <w:b/>
        <w:bCs/>
      </w:rPr>
      <w:tbl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B3CC82" w:themeColor="accent3" w:sz="8" w:space="0"/>
          <w:left w:val="single" w:color="B3CC82" w:themeColor="accent3" w:sz="8" w:space="0"/>
          <w:bottom w:val="single" w:color="B3CC82" w:themeColor="accent3" w:sz="8" w:space="0"/>
          <w:right w:val="single" w:color="B3CC82" w:themeColor="accent3"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sz="6" w:space="0"/>
          <w:left w:val="single" w:color="B3CC82" w:themeColor="accent3" w:sz="8" w:space="0"/>
          <w:bottom w:val="single" w:color="B3CC82" w:themeColor="accent3" w:sz="8" w:space="0"/>
          <w:right w:val="single" w:color="B3CC82" w:themeColor="accent3" w:sz="8" w:space="0"/>
          <w:insideH w:val="nil"/>
          <w:insideV w:val="nil"/>
        </w:tcBorders>
      </w:tcPr>
    </w:tblStylePr>
    <w:tblStylePr w:type="firstCol">
      <w:rPr>
        <w:b/>
        <w:bCs/>
      </w:rPr>
      <w:tblPr/>
    </w:tblStylePr>
    <w:tblStylePr w:type="lastCol">
      <w:rPr>
        <w:b/>
        <w:bCs/>
      </w:rPr>
      <w:tbl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9F8AB9" w:themeColor="accent4" w:sz="8" w:space="0"/>
          <w:left w:val="single" w:color="9F8AB9" w:themeColor="accent4" w:sz="8" w:space="0"/>
          <w:bottom w:val="single" w:color="9F8AB9" w:themeColor="accent4" w:sz="8" w:space="0"/>
          <w:right w:val="single" w:color="9F8AB9" w:themeColor="accent4"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sz="6" w:space="0"/>
          <w:left w:val="single" w:color="9F8AB9" w:themeColor="accent4" w:sz="8" w:space="0"/>
          <w:bottom w:val="single" w:color="9F8AB9" w:themeColor="accent4" w:sz="8" w:space="0"/>
          <w:right w:val="single" w:color="9F8AB9" w:themeColor="accent4" w:sz="8" w:space="0"/>
          <w:insideH w:val="nil"/>
          <w:insideV w:val="nil"/>
        </w:tcBorders>
      </w:tcPr>
    </w:tblStylePr>
    <w:tblStylePr w:type="firstCol">
      <w:rPr>
        <w:b/>
        <w:bCs/>
      </w:rPr>
      <w:tblPr/>
    </w:tblStylePr>
    <w:tblStylePr w:type="lastCol">
      <w:rPr>
        <w:b/>
        <w:bCs/>
      </w:rPr>
      <w:tbl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78C0D4" w:themeColor="accent5" w:sz="8" w:space="0"/>
          <w:left w:val="single" w:color="78C0D4" w:themeColor="accent5" w:sz="8" w:space="0"/>
          <w:bottom w:val="single" w:color="78C0D4" w:themeColor="accent5" w:sz="8" w:space="0"/>
          <w:right w:val="single" w:color="78C0D4" w:themeColor="accent5"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sz="6" w:space="0"/>
          <w:left w:val="single" w:color="78C0D4" w:themeColor="accent5" w:sz="8" w:space="0"/>
          <w:bottom w:val="single" w:color="78C0D4" w:themeColor="accent5" w:sz="8" w:space="0"/>
          <w:right w:val="single" w:color="78C0D4" w:themeColor="accent5" w:sz="8" w:space="0"/>
          <w:insideH w:val="nil"/>
          <w:insideV w:val="nil"/>
        </w:tcBorders>
      </w:tcPr>
    </w:tblStylePr>
    <w:tblStylePr w:type="firstCol">
      <w:rPr>
        <w:b/>
        <w:bCs/>
      </w:rPr>
      <w:tblPr/>
    </w:tblStylePr>
    <w:tblStylePr w:type="lastCol">
      <w:rPr>
        <w:b/>
        <w:bCs/>
      </w:rPr>
      <w:tbl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F9B074" w:themeColor="accent6" w:sz="8" w:space="0"/>
          <w:left w:val="single" w:color="F9B074" w:themeColor="accent6" w:sz="8" w:space="0"/>
          <w:bottom w:val="single" w:color="F9B074" w:themeColor="accent6" w:sz="8" w:space="0"/>
          <w:right w:val="single" w:color="F9B074" w:themeColor="accent6"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sz="6" w:space="0"/>
          <w:left w:val="single" w:color="F9B074" w:themeColor="accent6" w:sz="8" w:space="0"/>
          <w:bottom w:val="single" w:color="F9B074" w:themeColor="accent6" w:sz="8" w:space="0"/>
          <w:right w:val="single" w:color="F9B074" w:themeColor="accent6" w:sz="8" w:space="0"/>
          <w:insideH w:val="nil"/>
          <w:insideV w:val="nil"/>
        </w:tcBorders>
      </w:tcPr>
    </w:tblStylePr>
    <w:tblStylePr w:type="firstCol">
      <w:rPr>
        <w:b/>
        <w:bCs/>
      </w:rPr>
      <w:tblPr/>
    </w:tblStylePr>
    <w:tblStylePr w:type="lastCol">
      <w:rPr>
        <w:b/>
        <w:bCs/>
      </w:rPr>
      <w:tbl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TableNormal"/>
    <w:uiPriority w:val="65"/>
    <w:rsid w:val="00cb0664"/>
    <w:pPr>
      <w:spacing w:after="0" w:line="240" w:lineRule="auto"/>
    </w:pPr>
    <w:rPr>
      <w:color w:themeColor="text1"/>
    </w:rPr>
    <w:tblPr>
      <w:tblStyleRowBandSize w:val="1"/>
      <w:tblStyleColBandSize w:val="1"/>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themeColor="text2"/>
      </w:rPr>
      <w:tblPr/>
      <w:tcPr>
        <w:tcBorders>
          <w:top w:val="single" w:color="000000" w:themeColor="text1" w:sz="8" w:space="0"/>
          <w:bottom w:val="single" w:color="000000" w:themeColor="text1" w:sz="8" w:space="0"/>
        </w:tcBorders>
      </w:tcPr>
    </w:tblStylePr>
    <w:tblStylePr w:type="firstCol">
      <w:rPr>
        <w:b/>
        <w:bCs/>
      </w:rPr>
      <w:tbl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themeColor="text1"/>
    </w:rPr>
    <w:tblPr>
      <w:tblStyleRowBandSize w:val="1"/>
      <w:tblStyleColBandSize w:val="1"/>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themeColor="text2"/>
      </w:rPr>
      <w:tblPr/>
      <w:tcPr>
        <w:tcBorders>
          <w:top w:val="single" w:color="4F81BD" w:themeColor="accent1" w:sz="8" w:space="0"/>
          <w:bottom w:val="single" w:color="4F81BD" w:themeColor="accent1" w:sz="8" w:space="0"/>
        </w:tcBorders>
      </w:tcPr>
    </w:tblStylePr>
    <w:tblStylePr w:type="firstCol">
      <w:rPr>
        <w:b/>
        <w:bCs/>
      </w:rPr>
      <w:tbl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themeColor="text1"/>
    </w:rPr>
    <w:tblPr>
      <w:tblStyleRowBandSize w:val="1"/>
      <w:tblStyleColBandSize w:val="1"/>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themeColor="text2"/>
      </w:rPr>
      <w:tblPr/>
      <w:tcPr>
        <w:tcBorders>
          <w:top w:val="single" w:color="C0504D" w:themeColor="accent2" w:sz="8" w:space="0"/>
          <w:bottom w:val="single" w:color="C0504D" w:themeColor="accent2" w:sz="8" w:space="0"/>
        </w:tcBorders>
      </w:tcPr>
    </w:tblStylePr>
    <w:tblStylePr w:type="firstCol">
      <w:rPr>
        <w:b/>
        <w:bCs/>
      </w:rPr>
      <w:tbl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themeColor="text1"/>
    </w:rPr>
    <w:tblPr>
      <w:tblStyleRowBandSize w:val="1"/>
      <w:tblStyleColBandSize w:val="1"/>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themeColor="text2"/>
      </w:rPr>
      <w:tblPr/>
      <w:tcPr>
        <w:tcBorders>
          <w:top w:val="single" w:color="9BBB59" w:themeColor="accent3" w:sz="8" w:space="0"/>
          <w:bottom w:val="single" w:color="9BBB59" w:themeColor="accent3" w:sz="8" w:space="0"/>
        </w:tcBorders>
      </w:tcPr>
    </w:tblStylePr>
    <w:tblStylePr w:type="firstCol">
      <w:rPr>
        <w:b/>
        <w:bCs/>
      </w:rPr>
      <w:tbl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themeColor="text1"/>
    </w:rPr>
    <w:tblPr>
      <w:tblStyleRowBandSize w:val="1"/>
      <w:tblStyleColBandSize w:val="1"/>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themeColor="text2"/>
      </w:rPr>
      <w:tblPr/>
      <w:tcPr>
        <w:tcBorders>
          <w:top w:val="single" w:color="8064A2" w:themeColor="accent4" w:sz="8" w:space="0"/>
          <w:bottom w:val="single" w:color="8064A2" w:themeColor="accent4" w:sz="8" w:space="0"/>
        </w:tcBorders>
      </w:tcPr>
    </w:tblStylePr>
    <w:tblStylePr w:type="firstCol">
      <w:rPr>
        <w:b/>
        <w:bCs/>
      </w:rPr>
      <w:tbl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themeColor="text1"/>
    </w:rPr>
    <w:tblPr>
      <w:tblStyleRowBandSize w:val="1"/>
      <w:tblStyleColBandSize w:val="1"/>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themeColor="text2"/>
      </w:rPr>
      <w:tblPr/>
      <w:tcPr>
        <w:tcBorders>
          <w:top w:val="single" w:color="4BACC6" w:themeColor="accent5" w:sz="8" w:space="0"/>
          <w:bottom w:val="single" w:color="4BACC6" w:themeColor="accent5" w:sz="8" w:space="0"/>
        </w:tcBorders>
      </w:tcPr>
    </w:tblStylePr>
    <w:tblStylePr w:type="firstCol">
      <w:rPr>
        <w:b/>
        <w:bCs/>
      </w:rPr>
      <w:tbl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themeColor="text1"/>
    </w:rPr>
    <w:tblPr>
      <w:tblStyleRowBandSize w:val="1"/>
      <w:tblStyleColBandSize w:val="1"/>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themeColor="text2"/>
      </w:rPr>
      <w:tblPr/>
      <w:tcPr>
        <w:tcBorders>
          <w:top w:val="single" w:color="F79646" w:themeColor="accent6" w:sz="8" w:space="0"/>
          <w:bottom w:val="single" w:color="F79646" w:themeColor="accent6" w:sz="8" w:space="0"/>
        </w:tcBorders>
      </w:tcPr>
    </w:tblStylePr>
    <w:tblStylePr w:type="firstCol">
      <w:rPr>
        <w:b/>
        <w:bCs/>
      </w:rPr>
      <w:tbl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CellMar>
        <w:top w:w="0" w:type="dxa"/>
        <w:left w:w="108" w:type="dxa"/>
        <w:bottom w:w="0" w:type="dxa"/>
        <w:right w:w="108" w:type="dxa"/>
      </w:tblCellMar>
    </w:tblPr>
    <w:tcPr>
      <w:shd w:val="clear" w:color="auto" w:fill="C0C0C0" w:themeFill="text1" w:themeFillTint="3f"/>
    </w:tcPr>
    <w:tblStylePr w:type="firstRow">
      <w:rPr>
        <w:b/>
        <w:bCs/>
      </w:rPr>
      <w:tblPr/>
    </w:tblStylePr>
    <w:tblStylePr w:type="lastRow">
      <w:rPr>
        <w:b/>
        <w:bCs/>
      </w:rPr>
      <w:tblPr/>
      <w:tcPr>
        <w:tcBorders>
          <w:top w:val="single" w:color="404040" w:themeColor="text1" w:sz="18" w:space="0"/>
        </w:tcBorders>
      </w:tcPr>
    </w:tblStylePr>
    <w:tblStylePr w:type="firstCol">
      <w:rPr>
        <w:b/>
        <w:bCs/>
      </w:rPr>
      <w:tblPr/>
    </w:tblStylePr>
    <w:tblStylePr w:type="lastCol">
      <w:rPr>
        <w:b/>
        <w:bCs/>
      </w:rPr>
      <w:tbl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Pr/>
    </w:tblStylePr>
    <w:tblStylePr w:type="lastRow">
      <w:rPr>
        <w:b/>
        <w:bCs/>
      </w:rPr>
      <w:tblPr/>
      <w:tcPr>
        <w:tcBorders>
          <w:top w:val="single" w:color="7BA0CD" w:themeColor="accent1" w:sz="18" w:space="0"/>
        </w:tcBorders>
      </w:tcPr>
    </w:tblStylePr>
    <w:tblStylePr w:type="firstCol">
      <w:rPr>
        <w:b/>
        <w:bCs/>
      </w:rPr>
      <w:tblPr/>
    </w:tblStylePr>
    <w:tblStylePr w:type="lastCol">
      <w:rPr>
        <w:b/>
        <w:bCs/>
      </w:rPr>
      <w:tbl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2" w:themeFill="accent2" w:themeFillTint="3f"/>
    </w:tcPr>
    <w:tblStylePr w:type="firstRow">
      <w:rPr>
        <w:b/>
        <w:bCs/>
      </w:rPr>
      <w:tblPr/>
    </w:tblStylePr>
    <w:tblStylePr w:type="lastRow">
      <w:rPr>
        <w:b/>
        <w:bCs/>
      </w:rPr>
      <w:tblPr/>
      <w:tcPr>
        <w:tcBorders>
          <w:top w:val="single" w:color="CF7B79" w:themeColor="accent2" w:sz="18" w:space="0"/>
        </w:tcBorders>
      </w:tcPr>
    </w:tblStylePr>
    <w:tblStylePr w:type="firstCol">
      <w:rPr>
        <w:b/>
        <w:bCs/>
      </w:rPr>
      <w:tblPr/>
    </w:tblStylePr>
    <w:tblStylePr w:type="lastCol">
      <w:rPr>
        <w:b/>
        <w:bCs/>
      </w:rPr>
      <w:tbl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Pr/>
    </w:tblStylePr>
    <w:tblStylePr w:type="lastRow">
      <w:rPr>
        <w:b/>
        <w:bCs/>
      </w:rPr>
      <w:tblPr/>
      <w:tcPr>
        <w:tcBorders>
          <w:top w:val="single" w:color="B3CC82" w:themeColor="accent3" w:sz="18" w:space="0"/>
        </w:tcBorders>
      </w:tcPr>
    </w:tblStylePr>
    <w:tblStylePr w:type="firstCol">
      <w:rPr>
        <w:b/>
        <w:bCs/>
      </w:rPr>
      <w:tblPr/>
    </w:tblStylePr>
    <w:tblStylePr w:type="lastCol">
      <w:rPr>
        <w:b/>
        <w:bCs/>
      </w:rPr>
      <w:tbl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Pr/>
    </w:tblStylePr>
    <w:tblStylePr w:type="lastRow">
      <w:rPr>
        <w:b/>
        <w:bCs/>
      </w:rPr>
      <w:tblPr/>
      <w:tcPr>
        <w:tcBorders>
          <w:top w:val="single" w:color="9F8AB9" w:themeColor="accent4" w:sz="18" w:space="0"/>
        </w:tcBorders>
      </w:tcPr>
    </w:tblStylePr>
    <w:tblStylePr w:type="firstCol">
      <w:rPr>
        <w:b/>
        <w:bCs/>
      </w:rPr>
      <w:tblPr/>
    </w:tblStylePr>
    <w:tblStylePr w:type="lastCol">
      <w:rPr>
        <w:b/>
        <w:bCs/>
      </w:rPr>
      <w:tbl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1" w:themeFill="accent5" w:themeFillTint="3f"/>
    </w:tcPr>
    <w:tblStylePr w:type="firstRow">
      <w:rPr>
        <w:b/>
        <w:bCs/>
      </w:rPr>
      <w:tblPr/>
    </w:tblStylePr>
    <w:tblStylePr w:type="lastRow">
      <w:rPr>
        <w:b/>
        <w:bCs/>
      </w:rPr>
      <w:tblPr/>
      <w:tcPr>
        <w:tcBorders>
          <w:top w:val="single" w:color="78C0D4" w:themeColor="accent5" w:sz="18" w:space="0"/>
        </w:tcBorders>
      </w:tcPr>
    </w:tblStylePr>
    <w:tblStylePr w:type="firstCol">
      <w:rPr>
        <w:b/>
        <w:bCs/>
      </w:rPr>
      <w:tblPr/>
    </w:tblStylePr>
    <w:tblStylePr w:type="lastCol">
      <w:rPr>
        <w:b/>
        <w:bCs/>
      </w:rPr>
      <w:tbl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4D0" w:themeFill="accent6" w:themeFillTint="3f"/>
    </w:tcPr>
    <w:tblStylePr w:type="firstRow">
      <w:rPr>
        <w:b/>
        <w:bCs/>
      </w:rPr>
      <w:tblPr/>
    </w:tblStylePr>
    <w:tblStylePr w:type="lastRow">
      <w:rPr>
        <w:b/>
        <w:bCs/>
      </w:rPr>
      <w:tblPr/>
      <w:tcPr>
        <w:tcBorders>
          <w:top w:val="single" w:color="F9B074" w:themeColor="accent6" w:sz="18" w:space="0"/>
        </w:tcBorders>
      </w:tcPr>
    </w:tblStylePr>
    <w:tblStylePr w:type="firstCol">
      <w:rPr>
        <w:b/>
        <w:bCs/>
      </w:rPr>
      <w:tblPr/>
    </w:tblStylePr>
    <w:tblStylePr w:type="lastCol">
      <w:rPr>
        <w:b/>
        <w:bCs/>
      </w:rPr>
      <w:tbl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C0C0C0" w:themeFill="text1" w:themeFillTint="3f"/>
    </w:tcPr>
    <w:tblStylePr w:type="firstRow">
      <w:rPr>
        <w:b/>
        <w:bCs/>
        <w:color w:themeColor="text1"/>
      </w:rPr>
      <w:tblPr/>
      <w:tcPr>
        <w:shd w:val="clear" w:color="auto" w:fill="E6E6E6" w:themeFill="tex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themeColor="text1"/>
      </w:rPr>
      <w:tblPr/>
      <w:tcPr>
        <w:shd w:val="clear" w:color="auto" w:fill="EDF2F8" w:themeFill="accent1"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2" w:themeFill="accent2" w:themeFillTint="3f"/>
    </w:tcPr>
    <w:tblStylePr w:type="firstRow">
      <w:rPr>
        <w:b/>
        <w:bCs/>
        <w:color w:themeColor="text1"/>
      </w:rPr>
      <w:tblPr/>
      <w:tcPr>
        <w:shd w:val="clear" w:color="auto" w:fill="F8EDED" w:themeFill="accent2"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themeColor="text1"/>
      </w:rPr>
      <w:tblPr/>
      <w:tcPr>
        <w:shd w:val="clear" w:color="auto" w:fill="F5F8EE" w:themeFill="accent3"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themeColor="text1"/>
      </w:rPr>
      <w:tblPr/>
      <w:tcPr>
        <w:shd w:val="clear" w:color="auto" w:fill="F2EFF6" w:themeFill="accent4"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1" w:themeFill="accent5" w:themeFillTint="3f"/>
    </w:tcPr>
    <w:tblStylePr w:type="firstRow">
      <w:rPr>
        <w:b/>
        <w:bCs/>
        <w:color w:themeColor="text1"/>
      </w:rPr>
      <w:tblPr/>
      <w:tcPr>
        <w:shd w:val="clear" w:color="auto" w:fill="EDF6F9" w:themeFill="accent5"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hAnsiTheme="majorHAnsi" w:eastAsiaTheme="majorEastAsia" w:cstheme="majorBidi"/>
      <w:color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4D0" w:themeFill="accent6" w:themeFillTint="3f"/>
    </w:tcPr>
    <w:tblStylePr w:type="firstRow">
      <w:rPr>
        <w:b/>
        <w:bCs/>
        <w:color w:themeColor="text1"/>
      </w:rPr>
      <w:tblPr/>
      <w:tcPr>
        <w:shd w:val="clear" w:color="auto" w:fill="FEF4EC" w:themeFill="accent6" w:themeFillTint="19"/>
      </w:tcPr>
    </w:tblStylePr>
    <w:tblStylePr w:type="lastRow">
      <w:rPr>
        <w:b/>
        <w:bCs/>
        <w:color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C0C0C0" w:themeFill="tex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2" w:themeFill="accent2"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1" w:themeFill="accent5"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4D0" w:themeFill="accent6" w:themeFillTint="3f"/>
    </w:tcPr>
    <w:tblStylePr w:type="firstRow">
      <w:rPr>
        <w:b/>
        <w:bCs/>
        <w:i w:val="0"/>
        <w:color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color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color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color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themeColor="background1"/>
    </w:rPr>
    <w:tblPr>
      <w:tblStyleRowBandSize w:val="1"/>
      <w:tblStyleColBandSize w:val="1"/>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000000" w:themeFill="text1" w:themeFillShade="99"/>
      </w:tcPr>
    </w:tblStylePr>
    <w:tblStylePr w:type="firstCol">
      <w:rPr>
        <w:color w:themeColor="background1"/>
      </w:rPr>
      <w:tblPr/>
      <w:tcPr>
        <w:tcBorders>
          <w:top w:val="nil"/>
          <w:left w:val="nil"/>
          <w:bottom w:val="nil"/>
          <w:right w:val="nil"/>
          <w:insideH w:val="single" w:color="000000" w:themeColor="text1" w:sz="4" w:space="0"/>
          <w:insideV w:val="nil"/>
        </w:tcBorders>
        <w:shd w:val="clear" w:color="auto" w:fill="000000" w:themeFill="text1" w:themeFillShade="99"/>
      </w:tcPr>
    </w:tblStylePr>
    <w:tblStylePr w:type="lastCol">
      <w:rPr>
        <w:color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themeColor="text1"/>
      </w:rPr>
      <w:tblPr/>
    </w:tblStylePr>
    <w:tblStylePr w:type="nwCell">
      <w:rPr>
        <w:color w:themeColor="text1"/>
      </w:rPr>
      <w:tblPr/>
    </w:tblStylePr>
  </w:style>
  <w:style w:type="table" w:styleId="ColorfulShading-Accent1">
    <w:name w:val="Colorful Shading Accent 1"/>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C4C74" w:themeFill="accent1" w:themeFillShade="99"/>
      </w:tcPr>
    </w:tblStylePr>
    <w:tblStylePr w:type="firstCol">
      <w:rPr>
        <w:color w:themeColor="background1"/>
      </w:rPr>
      <w:tblPr/>
      <w:tcPr>
        <w:tcBorders>
          <w:top w:val="nil"/>
          <w:left w:val="nil"/>
          <w:bottom w:val="nil"/>
          <w:right w:val="nil"/>
          <w:insideH w:val="single" w:color="2C4C74" w:themeColor="accent1" w:sz="4" w:space="0"/>
          <w:insideV w:val="nil"/>
        </w:tcBorders>
        <w:shd w:val="clear" w:color="auto" w:fill="2C4C74" w:themeFill="accent1" w:themeFillShade="99"/>
      </w:tcPr>
    </w:tblStylePr>
    <w:tblStylePr w:type="lastCol">
      <w:rPr>
        <w:color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themeColor="text1"/>
      </w:rPr>
      <w:tblPr/>
    </w:tblStylePr>
    <w:tblStylePr w:type="nwCell">
      <w:rPr>
        <w:color w:themeColor="text1"/>
      </w:rPr>
      <w:tblPr/>
    </w:tblStylePr>
  </w:style>
  <w:style w:type="table" w:styleId="ColorfulShading-Accent2">
    <w:name w:val="Colorful Shading Accent 2"/>
    <w:basedOn w:val="TableNormal"/>
    <w:uiPriority w:val="71"/>
    <w:rsid w:val="00cb0664"/>
    <w:pPr>
      <w:spacing w:after="0" w:line="240" w:lineRule="auto"/>
    </w:pPr>
    <w:rPr>
      <w:color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772C2A" w:themeFill="accent2" w:themeFillShade="99"/>
      </w:tcPr>
    </w:tblStylePr>
    <w:tblStylePr w:type="firstCol">
      <w:rPr>
        <w:color w:themeColor="background1"/>
      </w:rPr>
      <w:tblPr/>
      <w:tcPr>
        <w:tcBorders>
          <w:top w:val="nil"/>
          <w:left w:val="nil"/>
          <w:bottom w:val="nil"/>
          <w:right w:val="nil"/>
          <w:insideH w:val="single" w:color="772C2A" w:themeColor="accent2" w:sz="4" w:space="0"/>
          <w:insideV w:val="nil"/>
        </w:tcBorders>
        <w:shd w:val="clear" w:color="auto" w:fill="772C2A" w:themeFill="accent2" w:themeFillShade="99"/>
      </w:tcPr>
    </w:tblStylePr>
    <w:tblStylePr w:type="lastCol">
      <w:rPr>
        <w:color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themeColor="text1"/>
      </w:rPr>
      <w:tblPr/>
    </w:tblStylePr>
    <w:tblStylePr w:type="nwCell">
      <w:rPr>
        <w:color w:themeColor="text1"/>
      </w:rPr>
      <w:tblPr/>
    </w:tblStylePr>
  </w:style>
  <w:style w:type="table" w:styleId="ColorfulShading-Accent3">
    <w:name w:val="Colorful Shading Accent 3"/>
    <w:basedOn w:val="TableNormal"/>
    <w:uiPriority w:val="71"/>
    <w:rsid w:val="00cb0664"/>
    <w:pPr>
      <w:spacing w:after="0" w:line="240" w:lineRule="auto"/>
    </w:pPr>
    <w:rPr>
      <w:color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5E7530" w:themeFill="accent3" w:themeFillShade="99"/>
      </w:tcPr>
    </w:tblStylePr>
    <w:tblStylePr w:type="firstCol">
      <w:rPr>
        <w:color w:themeColor="background1"/>
      </w:rPr>
      <w:tblPr/>
      <w:tcPr>
        <w:tcBorders>
          <w:top w:val="nil"/>
          <w:left w:val="nil"/>
          <w:bottom w:val="nil"/>
          <w:right w:val="nil"/>
          <w:insideH w:val="single" w:color="5E7530" w:themeColor="accent3" w:sz="4" w:space="0"/>
          <w:insideV w:val="nil"/>
        </w:tcBorders>
        <w:shd w:val="clear" w:color="auto" w:fill="5E7530" w:themeFill="accent3" w:themeFillShade="99"/>
      </w:tcPr>
    </w:tblStylePr>
    <w:tblStylePr w:type="lastCol">
      <w:rPr>
        <w:color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4C3B62" w:themeFill="accent4" w:themeFillShade="99"/>
      </w:tcPr>
    </w:tblStylePr>
    <w:tblStylePr w:type="firstCol">
      <w:rPr>
        <w:color w:themeColor="background1"/>
      </w:rPr>
      <w:tblPr/>
      <w:tcPr>
        <w:tcBorders>
          <w:top w:val="nil"/>
          <w:left w:val="nil"/>
          <w:bottom w:val="nil"/>
          <w:right w:val="nil"/>
          <w:insideH w:val="single" w:color="4C3B62" w:themeColor="accent4" w:sz="4" w:space="0"/>
          <w:insideV w:val="nil"/>
        </w:tcBorders>
        <w:shd w:val="clear" w:color="auto" w:fill="4C3B62" w:themeFill="accent4" w:themeFillShade="99"/>
      </w:tcPr>
    </w:tblStylePr>
    <w:tblStylePr w:type="lastCol">
      <w:rPr>
        <w:color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themeColor="text1"/>
      </w:rPr>
      <w:tblPr/>
    </w:tblStylePr>
    <w:tblStylePr w:type="nwCell">
      <w:rPr>
        <w:color w:themeColor="text1"/>
      </w:rPr>
      <w:tblPr/>
    </w:tblStylePr>
  </w:style>
  <w:style w:type="table" w:styleId="ColorfulShading-Accent5">
    <w:name w:val="Colorful Shading Accent 5"/>
    <w:basedOn w:val="TableNormal"/>
    <w:uiPriority w:val="71"/>
    <w:rsid w:val="00cb0664"/>
    <w:pPr>
      <w:spacing w:after="0" w:line="240" w:lineRule="auto"/>
    </w:pPr>
    <w:rPr>
      <w:color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276A7C" w:themeFill="accent5" w:themeFillShade="99"/>
      </w:tcPr>
    </w:tblStylePr>
    <w:tblStylePr w:type="firstCol">
      <w:rPr>
        <w:color w:themeColor="background1"/>
      </w:rPr>
      <w:tblPr/>
      <w:tcPr>
        <w:tcBorders>
          <w:top w:val="nil"/>
          <w:left w:val="nil"/>
          <w:bottom w:val="nil"/>
          <w:right w:val="nil"/>
          <w:insideH w:val="single" w:color="276A7C" w:themeColor="accent5" w:sz="4" w:space="0"/>
          <w:insideV w:val="nil"/>
        </w:tcBorders>
        <w:shd w:val="clear" w:color="auto" w:fill="276A7C" w:themeFill="accent5" w:themeFillShade="99"/>
      </w:tcPr>
    </w:tblStylePr>
    <w:tblStylePr w:type="lastCol">
      <w:rPr>
        <w:color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themeColor="text1"/>
      </w:rPr>
      <w:tblPr/>
    </w:tblStylePr>
    <w:tblStylePr w:type="nwCell">
      <w:rPr>
        <w:color w:themeColor="text1"/>
      </w:rPr>
      <w:tblPr/>
    </w:tblStylePr>
  </w:style>
  <w:style w:type="table" w:styleId="ColorfulShading-Accent6">
    <w:name w:val="Colorful Shading Accent 6"/>
    <w:basedOn w:val="TableNormal"/>
    <w:uiPriority w:val="71"/>
    <w:rsid w:val="00cb0664"/>
    <w:pPr>
      <w:spacing w:after="0" w:line="240" w:lineRule="auto"/>
    </w:pPr>
    <w:rPr>
      <w:color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themeColor="background1"/>
      </w:rPr>
      <w:tblPr/>
      <w:tcPr>
        <w:tcBorders>
          <w:top w:val="single" w:color="FFFFFF" w:themeColor="background1" w:sz="6" w:space="0"/>
        </w:tcBorders>
        <w:shd w:val="clear" w:color="auto" w:fill="B65608" w:themeFill="accent6" w:themeFillShade="99"/>
      </w:tcPr>
    </w:tblStylePr>
    <w:tblStylePr w:type="firstCol">
      <w:rPr>
        <w:color w:themeColor="background1"/>
      </w:rPr>
      <w:tblPr/>
      <w:tcPr>
        <w:tcBorders>
          <w:top w:val="nil"/>
          <w:left w:val="nil"/>
          <w:bottom w:val="nil"/>
          <w:right w:val="nil"/>
          <w:insideH w:val="single" w:color="B65608" w:themeColor="accent6" w:sz="4" w:space="0"/>
          <w:insideV w:val="nil"/>
        </w:tcBorders>
        <w:shd w:val="clear" w:color="auto" w:fill="B65608" w:themeFill="accent6" w:themeFillShade="99"/>
      </w:tcPr>
    </w:tblStylePr>
    <w:tblStylePr w:type="lastCol">
      <w:rPr>
        <w:color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themeColor="text1"/>
      </w:rPr>
      <w:tblPr/>
    </w:tblStylePr>
    <w:tblStylePr w:type="nwCell">
      <w:rPr>
        <w:color w:themeColor="text1"/>
      </w:rPr>
      <w:tblPr/>
    </w:tblStylePr>
  </w:style>
  <w:style w:type="table" w:styleId="ColorfulList">
    <w:name w:val="Colorful List"/>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6E6E6" w:themeFill="tex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2F8" w:themeFill="accent1"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8EDED" w:themeFill="accent2" w:themeFillTint="19"/>
    </w:tcPr>
    <w:tblStylePr w:type="firstRow">
      <w:rPr>
        <w:b/>
        <w:bCs/>
        <w:color w:themeColor="background1"/>
      </w:rPr>
      <w:tblPr/>
      <w:tcPr>
        <w:tcBorders>
          <w:bottom w:val="single" w:color="FFFFFF" w:themeColor="background1" w:sz="12" w:space="0"/>
        </w:tcBorders>
        <w:shd w:val="clear" w:color="auto" w:fill="9E3A38" w:themeFill="accent2" w:themeFillShade="cc"/>
      </w:tcPr>
    </w:tblStylePr>
    <w:tblStylePr w:type="lastRow">
      <w:rPr>
        <w:b/>
        <w:bCs/>
        <w:color w:themeColor="accent2"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5F8EE" w:themeFill="accent3" w:themeFillTint="19"/>
    </w:tcPr>
    <w:tblStylePr w:type="firstRow">
      <w:rPr>
        <w:b/>
        <w:bCs/>
        <w:color w:themeColor="background1"/>
      </w:rPr>
      <w:tblPr/>
      <w:tcPr>
        <w:tcBorders>
          <w:bottom w:val="single" w:color="FFFFFF" w:themeColor="background1" w:sz="12" w:space="0"/>
        </w:tcBorders>
        <w:shd w:val="clear" w:color="auto" w:fill="664E82" w:themeFill="accent4" w:themeFillShade="cc"/>
      </w:tcPr>
    </w:tblStylePr>
    <w:tblStylePr w:type="lastRow">
      <w:rPr>
        <w:b/>
        <w:bCs/>
        <w:color w:themeColor="accent4"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2EFF6" w:themeFill="accent4" w:themeFillTint="19"/>
    </w:tcPr>
    <w:tblStylePr w:type="firstRow">
      <w:rPr>
        <w:b/>
        <w:bCs/>
        <w:color w:themeColor="background1"/>
      </w:rPr>
      <w:tblPr/>
      <w:tcPr>
        <w:tcBorders>
          <w:bottom w:val="single" w:color="FFFFFF" w:themeColor="background1" w:sz="12" w:space="0"/>
        </w:tcBorders>
        <w:shd w:val="clear" w:color="auto" w:fill="7E9C40" w:themeFill="accent3" w:themeFillShade="cc"/>
      </w:tcPr>
    </w:tblStylePr>
    <w:tblStylePr w:type="lastRow">
      <w:rPr>
        <w:b/>
        <w:bCs/>
        <w:color w:themeColor="accent3"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EDF6F9" w:themeFill="accent5" w:themeFillTint="19"/>
    </w:tcPr>
    <w:tblStylePr w:type="firstRow">
      <w:rPr>
        <w:b/>
        <w:bCs/>
        <w:color w:themeColor="background1"/>
      </w:rPr>
      <w:tblPr/>
      <w:tcPr>
        <w:tcBorders>
          <w:bottom w:val="single" w:color="FFFFFF" w:themeColor="background1" w:sz="12" w:space="0"/>
        </w:tcBorders>
        <w:shd w:val="clear" w:color="auto" w:fill="F2730A" w:themeFill="accent6" w:themeFillShade="cc"/>
      </w:tcPr>
    </w:tblStylePr>
    <w:tblStylePr w:type="lastRow">
      <w:rPr>
        <w:b/>
        <w:bCs/>
        <w:color w:themeColor="accent6"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themeColor="text1"/>
    </w:rPr>
    <w:tblPr>
      <w:tblStyleRowBandSize w:val="1"/>
      <w:tblStyleColBandSize w:val="1"/>
      <w:tblCellMar>
        <w:top w:w="0" w:type="dxa"/>
        <w:left w:w="108" w:type="dxa"/>
        <w:bottom w:w="0" w:type="dxa"/>
        <w:right w:w="108" w:type="dxa"/>
      </w:tblCellMar>
    </w:tblPr>
    <w:tcPr>
      <w:shd w:val="clear" w:color="auto" w:fill="FEF4EC" w:themeFill="accent6" w:themeFillTint="19"/>
    </w:tcPr>
    <w:tblStylePr w:type="firstRow">
      <w:rPr>
        <w:b/>
        <w:bCs/>
        <w:color w:themeColor="background1"/>
      </w:rPr>
      <w:tblPr/>
      <w:tcPr>
        <w:tcBorders>
          <w:bottom w:val="single" w:color="FFFFFF" w:themeColor="background1" w:sz="12" w:space="0"/>
        </w:tcBorders>
        <w:shd w:val="clear" w:color="auto" w:fill="348DA5" w:themeFill="accent5" w:themeFillShade="cc"/>
      </w:tcPr>
    </w:tblStylePr>
    <w:tblStylePr w:type="lastRow">
      <w:rPr>
        <w:b/>
        <w:bCs/>
        <w:color w:themeColor="accent5" w:themeShade="cc"/>
      </w:rPr>
      <w:tblPr/>
      <w:tcPr>
        <w:tcBorders>
          <w:top w:val="single" w:color="000000" w:themeColor="text1" w:sz="12" w:space="0"/>
        </w:tcBorders>
        <w:shd w:val="clear" w:color="auto" w:fill="FFFFFF" w:themeFill="background1"/>
      </w:tcPr>
    </w:tblStylePr>
    <w:tblStylePr w:type="firstCol">
      <w:rPr>
        <w:b/>
        <w:bCs/>
      </w:rPr>
      <w:tblPr/>
    </w:tblStylePr>
    <w:tblStylePr w:type="lastCol">
      <w:rPr>
        <w:b/>
        <w:bCs/>
      </w:rPr>
      <w:tbl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themeColor="text1"/>
      </w:rPr>
      <w:tblPr/>
      <w:tcPr>
        <w:shd w:val="clear" w:color="auto" w:fill="999999" w:themeFill="text1" w:themeFillTint="66"/>
      </w:tcPr>
    </w:tblStylePr>
    <w:tblStylePr w:type="firstCol">
      <w:rPr>
        <w:color w:themeColor="background1"/>
      </w:rPr>
      <w:tblPr/>
      <w:tcPr>
        <w:shd w:val="clear" w:color="auto" w:fill="000000" w:themeFill="text1" w:themeFillShade="bf"/>
      </w:tcPr>
    </w:tblStylePr>
    <w:tblStylePr w:type="lastCol">
      <w:rPr>
        <w:color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themeColor="text1"/>
      </w:rPr>
      <w:tblPr/>
      <w:tcPr>
        <w:shd w:val="clear" w:color="auto" w:fill="B8CCE4" w:themeFill="accent1" w:themeFillTint="66"/>
      </w:tcPr>
    </w:tblStylePr>
    <w:tblStylePr w:type="firstCol">
      <w:rPr>
        <w:color w:themeColor="background1"/>
      </w:rPr>
      <w:tblPr/>
      <w:tcPr>
        <w:shd w:val="clear" w:color="auto" w:fill="365F91" w:themeFill="accent1" w:themeFillShade="bf"/>
      </w:tcPr>
    </w:tblStylePr>
    <w:tblStylePr w:type="lastCol">
      <w:rPr>
        <w:color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themeColor="text1"/>
      </w:rPr>
      <w:tblPr/>
      <w:tcPr>
        <w:shd w:val="clear" w:color="auto" w:fill="E5B8B7" w:themeFill="accent2" w:themeFillTint="66"/>
      </w:tcPr>
    </w:tblStylePr>
    <w:tblStylePr w:type="firstCol">
      <w:rPr>
        <w:color w:themeColor="background1"/>
      </w:rPr>
      <w:tblPr/>
      <w:tcPr>
        <w:shd w:val="clear" w:color="auto" w:fill="943634" w:themeFill="accent2" w:themeFillShade="bf"/>
      </w:tcPr>
    </w:tblStylePr>
    <w:tblStylePr w:type="lastCol">
      <w:rPr>
        <w:color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themeColor="text1"/>
      </w:rPr>
      <w:tblPr/>
      <w:tcPr>
        <w:shd w:val="clear" w:color="auto" w:fill="D6E3BC" w:themeFill="accent3" w:themeFillTint="66"/>
      </w:tcPr>
    </w:tblStylePr>
    <w:tblStylePr w:type="firstCol">
      <w:rPr>
        <w:color w:themeColor="background1"/>
      </w:rPr>
      <w:tblPr/>
      <w:tcPr>
        <w:shd w:val="clear" w:color="auto" w:fill="76923C" w:themeFill="accent3" w:themeFillShade="bf"/>
      </w:tcPr>
    </w:tblStylePr>
    <w:tblStylePr w:type="lastCol">
      <w:rPr>
        <w:color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themeColor="text1"/>
      </w:rPr>
      <w:tblPr/>
      <w:tcPr>
        <w:shd w:val="clear" w:color="auto" w:fill="CCC0D9" w:themeFill="accent4" w:themeFillTint="66"/>
      </w:tcPr>
    </w:tblStylePr>
    <w:tblStylePr w:type="firstCol">
      <w:rPr>
        <w:color w:themeColor="background1"/>
      </w:rPr>
      <w:tblPr/>
      <w:tcPr>
        <w:shd w:val="clear" w:color="auto" w:fill="5F497A" w:themeFill="accent4" w:themeFillShade="bf"/>
      </w:tcPr>
    </w:tblStylePr>
    <w:tblStylePr w:type="lastCol">
      <w:rPr>
        <w:color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themeColor="text1"/>
      </w:rPr>
      <w:tblPr/>
      <w:tcPr>
        <w:shd w:val="clear" w:color="auto" w:fill="B6DDE8" w:themeFill="accent5" w:themeFillTint="66"/>
      </w:tcPr>
    </w:tblStylePr>
    <w:tblStylePr w:type="firstCol">
      <w:rPr>
        <w:color w:themeColor="background1"/>
      </w:rPr>
      <w:tblPr/>
      <w:tcPr>
        <w:shd w:val="clear" w:color="auto" w:fill="31849B" w:themeFill="accent5" w:themeFillShade="bf"/>
      </w:tcPr>
    </w:tblStylePr>
    <w:tblStylePr w:type="lastCol">
      <w:rPr>
        <w:color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themeColor="text1"/>
    </w:rPr>
    <w:tblPr>
      <w:tblStyleRowBandSize w:val="1"/>
      <w:tblStyleColBandSize w:val="1"/>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themeColor="text1"/>
      </w:rPr>
      <w:tblPr/>
      <w:tcPr>
        <w:shd w:val="clear" w:color="auto" w:fill="FBD4B4" w:themeFill="accent6" w:themeFillTint="66"/>
      </w:tcPr>
    </w:tblStylePr>
    <w:tblStylePr w:type="firstCol">
      <w:rPr>
        <w:color w:themeColor="background1"/>
      </w:rPr>
      <w:tblPr/>
      <w:tcPr>
        <w:shd w:val="clear" w:color="auto" w:fill="E36C0A" w:themeFill="accent6" w:themeFillShade="bf"/>
      </w:tcPr>
    </w:tblStylePr>
    <w:tblStylePr w:type="lastCol">
      <w:rPr>
        <w:color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Application>LibreOffice/24.2.7.2$Linux_X86_64 LibreOffice_project/420$Build-2</Application>
  <AppVersion>15.0000</AppVersion>
  <Pages>7</Pages>
  <Words>1690</Words>
  <Characters>9234</Characters>
  <CharactersWithSpaces>10741</CharactersWithSpaces>
  <Paragraphs>209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dc:language>es-ES</dc:language>
  <cp:lastModifiedBy/>
  <dcterms:modified xsi:type="dcterms:W3CDTF">2026-08-14T12:40:05Z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