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left"/>
      </w:pPr>
      <w:r>
        <w:rPr>
          <w:rFonts w:ascii="Calibri" w:hAnsi="Calibri"/>
          <w:b/>
          <w:color w:val="1F5C99"/>
          <w:sz w:val="28"/>
        </w:rPr>
        <w:t>OFERTA ECONÓMICA</w:t>
      </w:r>
    </w:p>
    <w:p>
      <w:pPr>
        <w:spacing w:after="40"/>
      </w:pPr>
      <w:r>
        <w:rPr>
          <w:rFonts w:ascii="Calibri" w:hAnsi="Calibri"/>
          <w:color w:val="1F5C99"/>
          <w:sz w:val="22"/>
        </w:rPr>
        <w:t>Archivo C – Propuesta Económica</w:t>
      </w:r>
    </w:p>
    <w:p>
      <w:pPr>
        <w:pBdr>
          <w:bottom w:val="single" w:sz="6" w:space="1" w:color="2E74B5"/>
        </w:pBdr>
      </w:pPr>
    </w:p>
    <w:tbl>
      <w:tblPr>
        <w:tblStyle w:val="TableGrid"/>
        <w:tblW w:type="auto" w:w="0"/>
        <w:tblLook w:firstColumn="1" w:firstRow="1" w:lastColumn="0" w:lastRow="0" w:noHBand="0" w:noVBand="1" w:val="04A0"/>
      </w:tblPr>
      <w:tblGrid>
        <w:gridCol w:w="4561"/>
        <w:gridCol w:w="4561"/>
      </w:tblGrid>
      <w:tr>
        <w:tc>
          <w:tcPr>
            <w:tcW w:type="dxa" w:w="2835"/>
            <w:shd w:val="clear" w:color="auto" w:fill="F2F2F2"/>
          </w:tcPr>
          <w:p>
            <w:r>
              <w:rPr>
                <w:rFonts w:ascii="Times New Roman" w:hAnsi="Times New Roman"/>
                <w:b/>
                <w:sz w:val="20"/>
              </w:rPr>
              <w:t>Referencia del expediente:</w:t>
            </w:r>
          </w:p>
        </w:tc>
        <w:tc>
          <w:tcPr>
            <w:tcW w:type="dxa" w:w="4561"/>
          </w:tcPr>
          <w:p>
            <w:r>
              <w:rPr>
                <w:rFonts w:ascii="Times New Roman" w:hAnsi="Times New Roman"/>
                <w:sz w:val="20"/>
              </w:rPr>
              <w:t>GAIX-ESP-2026-003</w:t>
            </w:r>
          </w:p>
        </w:tc>
      </w:tr>
      <w:tr>
        <w:tc>
          <w:tcPr>
            <w:tcW w:type="dxa" w:w="2835"/>
            <w:shd w:val="clear" w:color="auto" w:fill="F2F2F2"/>
          </w:tcPr>
          <w:p>
            <w:r>
              <w:rPr>
                <w:rFonts w:ascii="Times New Roman" w:hAnsi="Times New Roman"/>
                <w:b/>
                <w:sz w:val="20"/>
              </w:rPr>
              <w:t>Entidad convocante:</w:t>
            </w:r>
          </w:p>
        </w:tc>
        <w:tc>
          <w:tcPr>
            <w:tcW w:type="dxa" w:w="4561"/>
          </w:tcPr>
          <w:p>
            <w:r>
              <w:rPr>
                <w:rFonts w:ascii="Times New Roman" w:hAnsi="Times New Roman"/>
                <w:sz w:val="20"/>
              </w:rPr>
              <w:t>Asociación Gaia-X España (CIF: G72514771)</w:t>
            </w:r>
          </w:p>
        </w:tc>
      </w:tr>
      <w:tr>
        <w:tc>
          <w:tcPr>
            <w:tcW w:type="dxa" w:w="2835"/>
            <w:shd w:val="clear" w:color="auto" w:fill="F2F2F2"/>
          </w:tcPr>
          <w:p>
            <w:r>
              <w:rPr>
                <w:rFonts w:ascii="Times New Roman" w:hAnsi="Times New Roman"/>
                <w:b/>
                <w:sz w:val="20"/>
              </w:rPr>
              <w:t>Objeto del contrato:</w:t>
            </w:r>
          </w:p>
        </w:tc>
        <w:tc>
          <w:tcPr>
            <w:tcW w:type="dxa" w:w="4561"/>
          </w:tcPr>
          <w:p>
            <w:r>
              <w:rPr>
                <w:rFonts w:ascii="Times New Roman" w:hAnsi="Times New Roman"/>
                <w:sz w:val="20"/>
              </w:rPr>
              <w:t>Asesoría Jurídico-Administrativa y Soporte Técnico para la Preparación de la Justificación de la Subvención Nominativa 2023</w:t>
            </w:r>
          </w:p>
        </w:tc>
      </w:tr>
    </w:tbl>
    <w:p/>
    <w:p>
      <w:pPr>
        <w:spacing w:before="40" w:after="80"/>
      </w:pPr>
      <w:r>
        <w:rPr>
          <w:rFonts w:ascii="Times New Roman" w:hAnsi="Times New Roman"/>
          <w:sz w:val="21"/>
        </w:rPr>
        <w:t xml:space="preserve">Don/Doña [NOMBRE Y APELLIDOS DEL FIRMANTE], con DNI/NIE [DNI/NIE], en calidad de [CARGO], actuando en nombre y representación de la entidad [RAZÓN SOCIAL DE LA EMPRESA] (CIF: [CIF]), </w:t>
      </w:r>
      <w:r>
        <w:rPr>
          <w:rFonts w:ascii="Times New Roman" w:hAnsi="Times New Roman"/>
          <w:b/>
          <w:sz w:val="21"/>
        </w:rPr>
        <w:t>PRESENTA</w:t>
      </w:r>
      <w:r>
        <w:rPr>
          <w:rFonts w:ascii="Times New Roman" w:hAnsi="Times New Roman"/>
          <w:sz w:val="21"/>
        </w:rPr>
        <w:t xml:space="preserve"> la siguiente oferta económica para la licitación GAIX-ESP-2026-003 — «Asesoría Jurídico-Administrativa y Soporte Técnico para la Preparación de la Justificación de la Subvención Nominativa 2023» — convocada por Asociación Gaia-X España:</w:t>
      </w:r>
    </w:p>
    <w:p>
      <w:pPr>
        <w:spacing w:before="200" w:after="80"/>
      </w:pPr>
      <w:r>
        <w:rPr>
          <w:rFonts w:ascii="Calibri" w:hAnsi="Calibri"/>
          <w:b/>
          <w:sz w:val="22"/>
        </w:rPr>
        <w:t>1.  DESGLOSE DE LA OFERTA (sección 3.2 del Pliego)</w:t>
      </w:r>
    </w:p>
    <w:p>
      <w:pPr>
        <w:spacing w:before="40" w:after="80"/>
      </w:pPr>
      <w:r>
        <w:rPr>
          <w:rFonts w:ascii="Times New Roman" w:hAnsi="Times New Roman"/>
          <w:i/>
          <w:color w:val="707070"/>
          <w:sz w:val="19"/>
        </w:rPr>
        <w:t>El desglose siguiente es el contenido mínimo obligatorio de la oferta económica conforme a la sección 3.2 del Pliego. Todos los importes en euros, IVA excluido salvo indicación.</w:t>
      </w:r>
    </w:p>
    <w:tbl>
      <w:tblPr>
        <w:tblStyle w:val="TableGrid"/>
        <w:tblW w:type="auto" w:w="0"/>
        <w:jc w:val="left"/>
        <w:tblLook w:firstColumn="1" w:firstRow="1" w:lastColumn="0" w:lastRow="0" w:noHBand="0" w:noVBand="1" w:val="04A0"/>
      </w:tblPr>
      <w:tblGrid>
        <w:gridCol w:w="3041"/>
        <w:gridCol w:w="3041"/>
        <w:gridCol w:w="3041"/>
      </w:tblGrid>
      <w:tr>
        <w:tc>
          <w:tcPr>
            <w:tcW w:type="dxa" w:w="3061"/>
            <w:shd w:val="clear" w:color="auto" w:fill="1F5C99"/>
            <w:vAlign w:val="center"/>
          </w:tcPr>
          <w:p>
            <w:r>
              <w:rPr>
                <w:rFonts w:ascii="Calibri" w:hAnsi="Calibri"/>
                <w:b/>
                <w:color w:val="FFFFFF"/>
                <w:sz w:val="20"/>
              </w:rPr>
              <w:t>Concepto</w:t>
            </w:r>
          </w:p>
        </w:tc>
        <w:tc>
          <w:tcPr>
            <w:tcW w:type="dxa" w:w="4082"/>
            <w:shd w:val="clear" w:color="auto" w:fill="1F5C99"/>
            <w:vAlign w:val="center"/>
          </w:tcPr>
          <w:p>
            <w:r>
              <w:rPr>
                <w:rFonts w:ascii="Calibri" w:hAnsi="Calibri"/>
                <w:b/>
                <w:color w:val="FFFFFF"/>
                <w:sz w:val="20"/>
              </w:rPr>
              <w:t>Descripción</w:t>
            </w:r>
          </w:p>
        </w:tc>
        <w:tc>
          <w:tcPr>
            <w:tcW w:type="dxa" w:w="1928"/>
            <w:shd w:val="clear" w:color="auto" w:fill="1F5C99"/>
            <w:vAlign w:val="center"/>
          </w:tcPr>
          <w:p>
            <w:r>
              <w:rPr>
                <w:rFonts w:ascii="Calibri" w:hAnsi="Calibri"/>
                <w:b/>
                <w:color w:val="FFFFFF"/>
                <w:sz w:val="20"/>
              </w:rPr>
              <w:t>Importe (€, IVA excluido)</w:t>
            </w:r>
          </w:p>
        </w:tc>
      </w:tr>
      <w:tr>
        <w:tc>
          <w:tcPr>
            <w:tcW w:type="dxa" w:w="3061"/>
          </w:tcPr>
          <w:p>
            <w:r>
              <w:rPr>
                <w:rFonts w:ascii="Times New Roman" w:hAnsi="Times New Roman"/>
                <w:sz w:val="20"/>
              </w:rPr>
              <w:t>Honorarios — Asesoría jurídico-administrativa</w:t>
            </w:r>
          </w:p>
        </w:tc>
        <w:tc>
          <w:tcPr>
            <w:tcW w:type="dxa" w:w="4082"/>
          </w:tcPr>
          <w:p>
            <w:r>
              <w:rPr>
                <w:rFonts w:ascii="Times New Roman" w:hAnsi="Times New Roman"/>
                <w:sz w:val="20"/>
              </w:rPr>
              <w:t>Tareas T1 a T4 (diagnóstico, recopilación, apoyo en memorias)</w:t>
            </w:r>
          </w:p>
        </w:tc>
        <w:tc>
          <w:tcPr>
            <w:tcW w:type="dxa" w:w="1928"/>
          </w:tcPr>
          <w:p>
            <w:r>
              <w:rPr>
                <w:rFonts w:ascii="Times New Roman" w:hAnsi="Times New Roman"/>
                <w:sz w:val="20"/>
              </w:rPr>
            </w:r>
          </w:p>
        </w:tc>
      </w:tr>
      <w:tr>
        <w:tc>
          <w:tcPr>
            <w:tcW w:type="dxa" w:w="3061"/>
          </w:tcPr>
          <w:p>
            <w:r>
              <w:rPr>
                <w:rFonts w:ascii="Times New Roman" w:hAnsi="Times New Roman"/>
                <w:sz w:val="20"/>
              </w:rPr>
              <w:t>Honorarios — Coordinación con auditoría ROAC</w:t>
            </w:r>
          </w:p>
        </w:tc>
        <w:tc>
          <w:tcPr>
            <w:tcW w:type="dxa" w:w="4082"/>
          </w:tcPr>
          <w:p>
            <w:r>
              <w:rPr>
                <w:rFonts w:ascii="Times New Roman" w:hAnsi="Times New Roman"/>
                <w:sz w:val="20"/>
              </w:rPr>
              <w:t>Tarea T5: interlocución técnica con la firma auditora</w:t>
            </w:r>
          </w:p>
        </w:tc>
        <w:tc>
          <w:tcPr>
            <w:tcW w:type="dxa" w:w="1928"/>
          </w:tcPr>
          <w:p>
            <w:r>
              <w:rPr>
                <w:rFonts w:ascii="Times New Roman" w:hAnsi="Times New Roman"/>
                <w:sz w:val="20"/>
              </w:rPr>
            </w:r>
          </w:p>
        </w:tc>
      </w:tr>
      <w:tr>
        <w:tc>
          <w:tcPr>
            <w:tcW w:type="dxa" w:w="3061"/>
          </w:tcPr>
          <w:p>
            <w:r>
              <w:rPr>
                <w:rFonts w:ascii="Times New Roman" w:hAnsi="Times New Roman"/>
                <w:sz w:val="20"/>
              </w:rPr>
              <w:t>Honorarios — Soporte post-presentación</w:t>
            </w:r>
          </w:p>
        </w:tc>
        <w:tc>
          <w:tcPr>
            <w:tcW w:type="dxa" w:w="4082"/>
          </w:tcPr>
          <w:p>
            <w:r>
              <w:rPr>
                <w:rFonts w:ascii="Times New Roman" w:hAnsi="Times New Roman"/>
                <w:sz w:val="20"/>
              </w:rPr>
              <w:t>Tarea T6: compilación, asistencia en presentación y subsanaciones incluidas en precio global</w:t>
            </w:r>
          </w:p>
        </w:tc>
        <w:tc>
          <w:tcPr>
            <w:tcW w:type="dxa" w:w="1928"/>
          </w:tcPr>
          <w:p>
            <w:r>
              <w:rPr>
                <w:rFonts w:ascii="Times New Roman" w:hAnsi="Times New Roman"/>
                <w:sz w:val="20"/>
              </w:rPr>
            </w:r>
          </w:p>
        </w:tc>
      </w:tr>
      <w:tr>
        <w:tc>
          <w:tcPr>
            <w:tcW w:type="dxa" w:w="3061"/>
          </w:tcPr>
          <w:p>
            <w:r>
              <w:rPr>
                <w:rFonts w:ascii="Times New Roman" w:hAnsi="Times New Roman"/>
                <w:sz w:val="20"/>
              </w:rPr>
              <w:t>Gastos de desplazamiento y dietas</w:t>
            </w:r>
          </w:p>
        </w:tc>
        <w:tc>
          <w:tcPr>
            <w:tcW w:type="dxa" w:w="4082"/>
          </w:tcPr>
          <w:p>
            <w:r>
              <w:rPr>
                <w:rFonts w:ascii="Times New Roman" w:hAnsi="Times New Roman"/>
                <w:sz w:val="20"/>
              </w:rPr>
              <w:t>Para reuniones presenciales en Madrid o sede de Gaia-X España</w:t>
            </w:r>
          </w:p>
        </w:tc>
        <w:tc>
          <w:tcPr>
            <w:tcW w:type="dxa" w:w="1928"/>
          </w:tcPr>
          <w:p>
            <w:r>
              <w:rPr>
                <w:rFonts w:ascii="Times New Roman" w:hAnsi="Times New Roman"/>
                <w:sz w:val="20"/>
              </w:rPr>
            </w:r>
          </w:p>
        </w:tc>
      </w:tr>
      <w:tr>
        <w:tc>
          <w:tcPr>
            <w:tcW w:type="dxa" w:w="3061"/>
          </w:tcPr>
          <w:p>
            <w:r>
              <w:rPr>
                <w:rFonts w:ascii="Times New Roman" w:hAnsi="Times New Roman"/>
                <w:sz w:val="20"/>
              </w:rPr>
              <w:t>Otros gastos directos (especificar)</w:t>
            </w:r>
          </w:p>
        </w:tc>
        <w:tc>
          <w:tcPr>
            <w:tcW w:type="dxa" w:w="4082"/>
          </w:tcPr>
          <w:p>
            <w:r>
              <w:rPr>
                <w:rFonts w:ascii="Times New Roman" w:hAnsi="Times New Roman"/>
                <w:sz w:val="20"/>
              </w:rPr>
              <w:t>Software, gestión documental, etc.</w:t>
            </w:r>
          </w:p>
        </w:tc>
        <w:tc>
          <w:tcPr>
            <w:tcW w:type="dxa" w:w="1928"/>
          </w:tcPr>
          <w:p>
            <w:r>
              <w:rPr>
                <w:rFonts w:ascii="Times New Roman" w:hAnsi="Times New Roman"/>
                <w:sz w:val="20"/>
              </w:rPr>
            </w:r>
          </w:p>
        </w:tc>
      </w:tr>
      <w:tr>
        <w:tc>
          <w:tcPr>
            <w:tcW w:type="dxa" w:w="3061"/>
          </w:tcPr>
          <w:p>
            <w:r>
              <w:rPr>
                <w:rFonts w:ascii="Times New Roman" w:hAnsi="Times New Roman"/>
                <w:sz w:val="20"/>
              </w:rPr>
              <w:t>SUBTOTAL (IVA excluido)</w:t>
            </w:r>
          </w:p>
        </w:tc>
        <w:tc>
          <w:tcPr>
            <w:tcW w:type="dxa" w:w="4082"/>
          </w:tcPr>
          <w:p>
            <w:r>
              <w:rPr>
                <w:rFonts w:ascii="Times New Roman" w:hAnsi="Times New Roman"/>
                <w:sz w:val="20"/>
              </w:rPr>
            </w:r>
          </w:p>
        </w:tc>
        <w:tc>
          <w:tcPr>
            <w:tcW w:type="dxa" w:w="1928"/>
          </w:tcPr>
          <w:p>
            <w:r>
              <w:rPr>
                <w:rFonts w:ascii="Times New Roman" w:hAnsi="Times New Roman"/>
                <w:sz w:val="20"/>
              </w:rPr>
            </w:r>
          </w:p>
        </w:tc>
      </w:tr>
      <w:tr>
        <w:tc>
          <w:tcPr>
            <w:tcW w:type="dxa" w:w="3061"/>
          </w:tcPr>
          <w:p>
            <w:r>
              <w:rPr>
                <w:rFonts w:ascii="Times New Roman" w:hAnsi="Times New Roman"/>
                <w:sz w:val="20"/>
              </w:rPr>
              <w:t>IVA (indicar tipo aplicable)</w:t>
            </w:r>
          </w:p>
        </w:tc>
        <w:tc>
          <w:tcPr>
            <w:tcW w:type="dxa" w:w="4082"/>
          </w:tcPr>
          <w:p>
            <w:r>
              <w:rPr>
                <w:rFonts w:ascii="Times New Roman" w:hAnsi="Times New Roman"/>
                <w:sz w:val="20"/>
              </w:rPr>
            </w:r>
          </w:p>
        </w:tc>
        <w:tc>
          <w:tcPr>
            <w:tcW w:type="dxa" w:w="1928"/>
          </w:tcPr>
          <w:p>
            <w:r>
              <w:rPr>
                <w:rFonts w:ascii="Times New Roman" w:hAnsi="Times New Roman"/>
                <w:sz w:val="20"/>
              </w:rPr>
            </w:r>
          </w:p>
        </w:tc>
      </w:tr>
      <w:tr>
        <w:tc>
          <w:tcPr>
            <w:tcW w:type="dxa" w:w="3061"/>
          </w:tcPr>
          <w:p>
            <w:r>
              <w:rPr>
                <w:rFonts w:ascii="Times New Roman" w:hAnsi="Times New Roman"/>
                <w:sz w:val="20"/>
              </w:rPr>
              <w:t>TOTAL (IVA incluido)</w:t>
            </w:r>
          </w:p>
        </w:tc>
        <w:tc>
          <w:tcPr>
            <w:tcW w:type="dxa" w:w="4082"/>
          </w:tcPr>
          <w:p>
            <w:r>
              <w:rPr>
                <w:rFonts w:ascii="Times New Roman" w:hAnsi="Times New Roman"/>
                <w:sz w:val="20"/>
              </w:rPr>
            </w:r>
          </w:p>
        </w:tc>
        <w:tc>
          <w:tcPr>
            <w:tcW w:type="dxa" w:w="1928"/>
          </w:tcPr>
          <w:p>
            <w:r>
              <w:rPr>
                <w:rFonts w:ascii="Times New Roman" w:hAnsi="Times New Roman"/>
                <w:sz w:val="20"/>
              </w:rPr>
            </w:r>
          </w:p>
        </w:tc>
      </w:tr>
    </w:tbl>
    <w:p/>
    <w:p>
      <w:pPr>
        <w:spacing w:before="40" w:after="60"/>
      </w:pPr>
      <w:r>
        <w:rPr>
          <w:rFonts w:ascii="Times New Roman" w:hAnsi="Times New Roman"/>
          <w:b/>
          <w:sz w:val="21"/>
        </w:rPr>
        <w:t xml:space="preserve">Importe total en letra: </w:t>
      </w:r>
      <w:r>
        <w:rPr>
          <w:rFonts w:ascii="Times New Roman" w:hAnsi="Times New Roman"/>
          <w:sz w:val="21"/>
        </w:rPr>
        <w:t>[IMPORTE EN LETRA] euros (IVA excluido).</w:t>
      </w:r>
    </w:p>
    <w:tbl>
      <w:tblPr>
        <w:tblStyle w:val="TableGrid"/>
        <w:tblW w:type="auto" w:w="0"/>
        <w:tblLook w:firstColumn="1" w:firstRow="1" w:lastColumn="0" w:lastRow="0" w:noHBand="0" w:noVBand="1" w:val="04A0"/>
      </w:tblPr>
      <w:tblGrid>
        <w:gridCol w:w="9122"/>
      </w:tblGrid>
      <w:tr>
        <w:tc>
          <w:tcPr>
            <w:tcW w:type="dxa" w:w="9122"/>
            <w:shd w:val="clear" w:color="auto" w:fill="F2F2F2"/>
          </w:tcPr>
          <w:p>
            <w:r>
              <w:rPr>
                <w:rFonts w:ascii="Times New Roman" w:hAnsi="Times New Roman"/>
                <w:sz w:val="19"/>
              </w:rPr>
              <w:t>MODALIDAD DE PRESUPUESTO ABIERTO (sección 3.1 del Pliego): no existe presupuesto base de licitación máximo predeterminado. No obstante, conforme al criterio de razonabilidad de la Parte III, la Asociación podrá excluir las ofertas manifiestamente desproporcionadas por defecto (temerarias), las que presenten un desglose que no justifique la capacidad de prestar el servicio con la calidad exigida, y las de precio excesivo sin proporción con el alcance del servicio. El precio se valora en el criterio A1 (20 pts) de forma proporcional inversa: Pᵢ = 20 × (Precio_mínimo / Precio_i).</w:t>
            </w:r>
          </w:p>
        </w:tc>
      </w:tr>
    </w:tbl>
    <w:p/>
    <w:p>
      <w:pPr>
        <w:spacing w:before="200" w:after="80"/>
      </w:pPr>
      <w:r>
        <w:rPr>
          <w:rFonts w:ascii="Calibri" w:hAnsi="Calibri"/>
          <w:b/>
          <w:sz w:val="22"/>
        </w:rPr>
        <w:t>2.  ACEPTACIÓN DE LA FORMA DE PAGO (sección 3.3 del Pliego)</w:t>
      </w:r>
    </w:p>
    <w:p>
      <w:pPr>
        <w:spacing w:before="40" w:after="80"/>
      </w:pPr>
      <w:r>
        <w:rPr>
          <w:rFonts w:ascii="Times New Roman" w:hAnsi="Times New Roman"/>
          <w:sz w:val="21"/>
        </w:rPr>
        <w:t>El licitador declara conocer y aceptar el calendario de pagos vinculado a entregables y la retención de garantía del 5 % establecidos en el Pliego:</w:t>
      </w:r>
    </w:p>
    <w:tbl>
      <w:tblPr>
        <w:tblStyle w:val="TableGrid"/>
        <w:tblW w:type="auto" w:w="0"/>
        <w:jc w:val="left"/>
        <w:tblLook w:firstColumn="1" w:firstRow="1" w:lastColumn="0" w:lastRow="0" w:noHBand="0" w:noVBand="1" w:val="04A0"/>
      </w:tblPr>
      <w:tblGrid>
        <w:gridCol w:w="3041"/>
        <w:gridCol w:w="3041"/>
        <w:gridCol w:w="3041"/>
      </w:tblGrid>
      <w:tr>
        <w:tc>
          <w:tcPr>
            <w:tcW w:type="dxa" w:w="907"/>
            <w:shd w:val="clear" w:color="auto" w:fill="1F5C99"/>
            <w:vAlign w:val="center"/>
          </w:tcPr>
          <w:p>
            <w:r>
              <w:rPr>
                <w:rFonts w:ascii="Calibri" w:hAnsi="Calibri"/>
                <w:b/>
                <w:color w:val="FFFFFF"/>
                <w:sz w:val="20"/>
              </w:rPr>
              <w:t>Tramo</w:t>
            </w:r>
          </w:p>
        </w:tc>
        <w:tc>
          <w:tcPr>
            <w:tcW w:type="dxa" w:w="1814"/>
            <w:shd w:val="clear" w:color="auto" w:fill="1F5C99"/>
            <w:vAlign w:val="center"/>
          </w:tcPr>
          <w:p>
            <w:r>
              <w:rPr>
                <w:rFonts w:ascii="Calibri" w:hAnsi="Calibri"/>
                <w:b/>
                <w:color w:val="FFFFFF"/>
                <w:sz w:val="20"/>
              </w:rPr>
              <w:t>Entregable / hito</w:t>
            </w:r>
          </w:p>
        </w:tc>
        <w:tc>
          <w:tcPr>
            <w:tcW w:type="dxa" w:w="6350"/>
            <w:shd w:val="clear" w:color="auto" w:fill="1F5C99"/>
            <w:vAlign w:val="center"/>
          </w:tcPr>
          <w:p>
            <w:r>
              <w:rPr>
                <w:rFonts w:ascii="Calibri" w:hAnsi="Calibri"/>
                <w:b/>
                <w:color w:val="FFFFFF"/>
                <w:sz w:val="20"/>
              </w:rPr>
              <w:t>Condición de pago</w:t>
            </w:r>
          </w:p>
        </w:tc>
      </w:tr>
      <w:tr>
        <w:tc>
          <w:tcPr>
            <w:tcW w:type="dxa" w:w="907"/>
          </w:tcPr>
          <w:p>
            <w:r>
              <w:rPr>
                <w:rFonts w:ascii="Times New Roman" w:hAnsi="Times New Roman"/>
                <w:sz w:val="20"/>
              </w:rPr>
              <w:t>30 %</w:t>
            </w:r>
          </w:p>
        </w:tc>
        <w:tc>
          <w:tcPr>
            <w:tcW w:type="dxa" w:w="1814"/>
          </w:tcPr>
          <w:p>
            <w:r>
              <w:rPr>
                <w:rFonts w:ascii="Times New Roman" w:hAnsi="Times New Roman"/>
                <w:sz w:val="20"/>
              </w:rPr>
              <w:t>E1</w:t>
            </w:r>
          </w:p>
        </w:tc>
        <w:tc>
          <w:tcPr>
            <w:tcW w:type="dxa" w:w="6350"/>
          </w:tcPr>
          <w:p>
            <w:r>
              <w:rPr>
                <w:rFonts w:ascii="Times New Roman" w:hAnsi="Times New Roman"/>
                <w:sz w:val="20"/>
              </w:rPr>
              <w:t>Inventario completo de gastos clasificados y revisión de elegibilidad.</w:t>
            </w:r>
          </w:p>
        </w:tc>
      </w:tr>
      <w:tr>
        <w:tc>
          <w:tcPr>
            <w:tcW w:type="dxa" w:w="907"/>
          </w:tcPr>
          <w:p>
            <w:r>
              <w:rPr>
                <w:rFonts w:ascii="Times New Roman" w:hAnsi="Times New Roman"/>
                <w:sz w:val="20"/>
              </w:rPr>
              <w:t>35 %</w:t>
            </w:r>
          </w:p>
        </w:tc>
        <w:tc>
          <w:tcPr>
            <w:tcW w:type="dxa" w:w="1814"/>
          </w:tcPr>
          <w:p>
            <w:r>
              <w:rPr>
                <w:rFonts w:ascii="Times New Roman" w:hAnsi="Times New Roman"/>
                <w:sz w:val="20"/>
              </w:rPr>
              <w:t>E4</w:t>
            </w:r>
          </w:p>
        </w:tc>
        <w:tc>
          <w:tcPr>
            <w:tcW w:type="dxa" w:w="6350"/>
          </w:tcPr>
          <w:p>
            <w:r>
              <w:rPr>
                <w:rFonts w:ascii="Times New Roman" w:hAnsi="Times New Roman"/>
                <w:sz w:val="20"/>
              </w:rPr>
              <w:t>Borradores definitivos de las Memorias de Actuación y Económica, con expediente de coordinación ROAC.</w:t>
            </w:r>
          </w:p>
        </w:tc>
      </w:tr>
      <w:tr>
        <w:tc>
          <w:tcPr>
            <w:tcW w:type="dxa" w:w="907"/>
          </w:tcPr>
          <w:p>
            <w:r>
              <w:rPr>
                <w:rFonts w:ascii="Times New Roman" w:hAnsi="Times New Roman"/>
                <w:sz w:val="20"/>
              </w:rPr>
              <w:t>30 %</w:t>
            </w:r>
          </w:p>
        </w:tc>
        <w:tc>
          <w:tcPr>
            <w:tcW w:type="dxa" w:w="1814"/>
          </w:tcPr>
          <w:p>
            <w:r>
              <w:rPr>
                <w:rFonts w:ascii="Times New Roman" w:hAnsi="Times New Roman"/>
                <w:sz w:val="20"/>
              </w:rPr>
              <w:t>E5</w:t>
            </w:r>
          </w:p>
        </w:tc>
        <w:tc>
          <w:tcPr>
            <w:tcW w:type="dxa" w:w="6350"/>
          </w:tcPr>
          <w:p>
            <w:r>
              <w:rPr>
                <w:rFonts w:ascii="Times New Roman" w:hAnsi="Times New Roman"/>
                <w:sz w:val="20"/>
              </w:rPr>
              <w:t>Expediente completo preparado para presentación formal ante la SEDIA.</w:t>
            </w:r>
          </w:p>
        </w:tc>
      </w:tr>
      <w:tr>
        <w:tc>
          <w:tcPr>
            <w:tcW w:type="dxa" w:w="907"/>
          </w:tcPr>
          <w:p>
            <w:r>
              <w:rPr>
                <w:rFonts w:ascii="Times New Roman" w:hAnsi="Times New Roman"/>
                <w:sz w:val="20"/>
              </w:rPr>
              <w:t>5 %</w:t>
            </w:r>
          </w:p>
        </w:tc>
        <w:tc>
          <w:tcPr>
            <w:tcW w:type="dxa" w:w="1814"/>
          </w:tcPr>
          <w:p>
            <w:r>
              <w:rPr>
                <w:rFonts w:ascii="Times New Roman" w:hAnsi="Times New Roman"/>
                <w:sz w:val="20"/>
              </w:rPr>
              <w:t>E6 — RETENCIÓN</w:t>
            </w:r>
          </w:p>
        </w:tc>
        <w:tc>
          <w:tcPr>
            <w:tcW w:type="dxa" w:w="6350"/>
          </w:tcPr>
          <w:p>
            <w:r>
              <w:rPr>
                <w:rFonts w:ascii="Times New Roman" w:hAnsi="Times New Roman"/>
                <w:sz w:val="20"/>
              </w:rPr>
              <w:t>Retenido hasta la aceptación definitiva de la cuenta justificativa por la SEDIA, o hasta el transcurso de 6 meses desde la presentación sin requerimiento de subsanación atribuible al adjudicatario.</w:t>
            </w:r>
          </w:p>
        </w:tc>
      </w:tr>
    </w:tbl>
    <w:p>
      <w:pPr>
        <w:spacing w:before="40" w:after="80"/>
      </w:pPr>
      <w:r>
        <w:rPr>
          <w:rFonts w:ascii="Times New Roman" w:hAnsi="Times New Roman"/>
          <w:sz w:val="21"/>
        </w:rPr>
        <w:t>Cada pago requerirá la emisión previa de factura (excepto la retención), con plazo de pago de 30 días desde la fecha de la factura. Todas las facturas se emitirán antes del 31 de marzo de 2027. El soporte post-presentación (T6) está incluido en el precio total y no genera coste adicional.</w:t>
      </w:r>
    </w:p>
    <w:p>
      <w:pPr>
        <w:spacing w:before="40" w:after="80"/>
      </w:pPr>
      <w:r>
        <w:rPr>
          <w:rFonts w:ascii="Times New Roman" w:hAnsi="Times New Roman"/>
          <w:sz w:val="21"/>
        </w:rPr>
        <w:t>La presente oferta tiene una validez de 60 días naturales a contar desde la fecha límite de presentación (23 de julio de 2026 a las 17:00 horas), período durante el cual el licitador queda vinculado irrevocablemente a sus términos.</w:t>
      </w:r>
    </w:p>
    <w:p>
      <w:pPr>
        <w:spacing w:before="200" w:after="80"/>
      </w:pPr>
      <w:r>
        <w:rPr>
          <w:rFonts w:ascii="Calibri" w:hAnsi="Calibri"/>
          <w:b/>
          <w:sz w:val="22"/>
        </w:rPr>
        <w:t>FIRMA DEL REPRESENTANTE LEGAL</w:t>
      </w:r>
    </w:p>
    <w:p>
      <w:pPr>
        <w:spacing w:before="40" w:after="60"/>
      </w:pPr>
      <w:r>
        <w:rPr>
          <w:rFonts w:ascii="Times New Roman" w:hAnsi="Times New Roman"/>
          <w:b/>
          <w:sz w:val="21"/>
        </w:rPr>
        <w:t xml:space="preserve">Nombre y apellidos: </w:t>
      </w:r>
      <w:r>
        <w:rPr>
          <w:rFonts w:ascii="Times New Roman" w:hAnsi="Times New Roman"/>
          <w:sz w:val="21"/>
        </w:rPr>
        <w:t>[NOMBRE Y APELLIDOS DEL FIRMANTE]</w:t>
      </w:r>
    </w:p>
    <w:p>
      <w:pPr>
        <w:spacing w:before="40" w:after="60"/>
      </w:pPr>
      <w:r>
        <w:rPr>
          <w:rFonts w:ascii="Times New Roman" w:hAnsi="Times New Roman"/>
          <w:b/>
          <w:sz w:val="21"/>
        </w:rPr>
        <w:t xml:space="preserve">Cargo: </w:t>
      </w:r>
      <w:r>
        <w:rPr>
          <w:rFonts w:ascii="Times New Roman" w:hAnsi="Times New Roman"/>
          <w:sz w:val="21"/>
        </w:rPr>
        <w:t>[CARGO EN LA EMPRESA]</w:t>
      </w:r>
    </w:p>
    <w:p>
      <w:pPr>
        <w:spacing w:before="40" w:after="60"/>
      </w:pPr>
      <w:r>
        <w:rPr>
          <w:rFonts w:ascii="Times New Roman" w:hAnsi="Times New Roman"/>
          <w:b/>
          <w:sz w:val="21"/>
        </w:rPr>
        <w:t xml:space="preserve">En nombre de: </w:t>
      </w:r>
      <w:r>
        <w:rPr>
          <w:rFonts w:ascii="Times New Roman" w:hAnsi="Times New Roman"/>
          <w:sz w:val="21"/>
        </w:rPr>
        <w:t>[RAZÓN SOCIAL DE LA EMPRESA]</w:t>
      </w:r>
    </w:p>
    <w:p>
      <w:pPr>
        <w:spacing w:before="40" w:after="60"/>
      </w:pPr>
      <w:r>
        <w:rPr>
          <w:rFonts w:ascii="Times New Roman" w:hAnsi="Times New Roman"/>
          <w:b/>
          <w:sz w:val="21"/>
        </w:rPr>
        <w:t xml:space="preserve">CIF de la empresa: </w:t>
      </w:r>
      <w:r>
        <w:rPr>
          <w:rFonts w:ascii="Times New Roman" w:hAnsi="Times New Roman"/>
          <w:sz w:val="21"/>
        </w:rPr>
        <w:t>[CIF]</w:t>
      </w:r>
    </w:p>
    <w:p>
      <w:pPr>
        <w:spacing w:before="40" w:after="60"/>
      </w:pPr>
      <w:r>
        <w:rPr>
          <w:rFonts w:ascii="Times New Roman" w:hAnsi="Times New Roman"/>
          <w:b/>
          <w:sz w:val="21"/>
        </w:rPr>
        <w:t xml:space="preserve">Lugar y fecha: </w:t>
      </w:r>
      <w:r>
        <w:rPr>
          <w:rFonts w:ascii="Times New Roman" w:hAnsi="Times New Roman"/>
          <w:sz w:val="21"/>
        </w:rPr>
        <w:t>[CIUDAD], a [DÍA] de [MES] de 2026</w:t>
      </w:r>
    </w:p>
    <w:p/>
    <w:p>
      <w:pPr>
        <w:spacing w:before="40" w:after="80"/>
      </w:pPr>
      <w:r>
        <w:rPr>
          <w:rFonts w:ascii="Times New Roman" w:hAnsi="Times New Roman"/>
          <w:sz w:val="21"/>
        </w:rPr>
        <w:t>Firma y sello de la entidad:</w:t>
      </w:r>
    </w:p>
    <w:p/>
    <w:p/>
    <w:p>
      <w:pPr>
        <w:spacing w:before="40" w:after="80"/>
      </w:pPr>
      <w:r>
        <w:rPr>
          <w:rFonts w:ascii="Times New Roman" w:hAnsi="Times New Roman"/>
          <w:sz w:val="21"/>
        </w:rPr>
        <w:t>____________________________________________</w:t>
      </w:r>
    </w:p>
    <w:p/>
    <w:p>
      <w:pPr>
        <w:pBdr>
          <w:bottom w:val="single" w:sz="6" w:space="1" w:color="2E74B5"/>
        </w:pBdr>
      </w:pPr>
    </w:p>
    <w:p>
      <w:r>
        <w:rPr>
          <w:rFonts w:ascii="Calibri" w:hAnsi="Calibri"/>
          <w:color w:val="707070"/>
          <w:sz w:val="17"/>
        </w:rPr>
        <w:t>Expediente: GAIX-ESP-2026-003 · Gaia-X España · Plazo de presentación: 23 de julio de 2026, 17:00 h · Canal: susana.estables@gaiax-spain.com</w:t>
      </w:r>
    </w:p>
    <w:sectPr w:rsidR="00FC693F" w:rsidRPr="0006063C" w:rsidSect="00034616">
      <w:pgSz w:w="12240" w:h="15840"/>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