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left"/>
      </w:pPr>
      <w:r>
        <w:rPr>
          <w:rFonts w:ascii="Calibri" w:hAnsi="Calibri"/>
          <w:b/>
          <w:color w:val="1F5C99"/>
          <w:sz w:val="32"/>
        </w:rPr>
        <w:t>PROPUESTA TÉCNICA Y DE PLAZOS</w:t>
        <w:br/>
        <w:t>ARCHIVO B</w:t>
      </w:r>
    </w:p>
    <w:p>
      <w:pPr>
        <w:spacing w:after="40"/>
      </w:pPr>
      <w:r>
        <w:rPr>
          <w:rFonts w:ascii="Calibri" w:hAnsi="Calibri"/>
          <w:color w:val="1F5C99"/>
          <w:sz w:val="22"/>
        </w:rPr>
        <w:t>Licitación: Estudio de Impacto y Futuras Necesidades de los Datos Abiertos de las Administraciones Públicas en España</w:t>
      </w:r>
    </w:p>
    <w:p>
      <w:pPr>
        <w:pBdr>
          <w:bottom w:val="single" w:sz="6" w:space="1" w:color="2E74B5"/>
        </w:pBdr>
      </w:pP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561"/>
        <w:gridCol w:w="4561"/>
      </w:tblGrid>
      <w:tr>
        <w:tc>
          <w:tcPr>
            <w:tcW w:type="dxa" w:w="3402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Campo</w:t>
            </w:r>
          </w:p>
        </w:tc>
        <w:tc>
          <w:tcPr>
            <w:tcW w:type="dxa" w:w="5669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Valor</w:t>
            </w:r>
          </w:p>
        </w:tc>
      </w:tr>
      <w:tr>
        <w:tc>
          <w:tcPr>
            <w:tcW w:type="dxa" w:w="3402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Referencia del expediente</w:t>
            </w:r>
          </w:p>
        </w:tc>
        <w:tc>
          <w:tcPr>
            <w:tcW w:type="dxa" w:w="5669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GAIX-ESP-2026-002</w:t>
            </w:r>
          </w:p>
        </w:tc>
      </w:tr>
      <w:tr>
        <w:tc>
          <w:tcPr>
            <w:tcW w:type="dxa" w:w="3402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Entidad convocante</w:t>
            </w:r>
          </w:p>
        </w:tc>
        <w:tc>
          <w:tcPr>
            <w:tcW w:type="dxa" w:w="5669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Asociación Gaia-X España (CIF: G72514771)</w:t>
            </w:r>
          </w:p>
        </w:tc>
      </w:tr>
      <w:tr>
        <w:tc>
          <w:tcPr>
            <w:tcW w:type="dxa" w:w="3402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Presupuesto máximo (IVA excl.)</w:t>
            </w:r>
          </w:p>
        </w:tc>
        <w:tc>
          <w:tcPr>
            <w:tcW w:type="dxa" w:w="5669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25.000,00 € (IVA excluido)</w:t>
            </w:r>
          </w:p>
        </w:tc>
      </w:tr>
      <w:tr>
        <w:tc>
          <w:tcPr>
            <w:tcW w:type="dxa" w:w="3402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Plazo de presentación</w:t>
            </w:r>
          </w:p>
        </w:tc>
        <w:tc>
          <w:tcPr>
            <w:tcW w:type="dxa" w:w="5669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17 de julio de 2026, 17:00 h</w:t>
            </w:r>
          </w:p>
        </w:tc>
      </w:tr>
      <w:tr>
        <w:tc>
          <w:tcPr>
            <w:tcW w:type="dxa" w:w="3402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Canal de envío</w:t>
            </w:r>
          </w:p>
        </w:tc>
        <w:tc>
          <w:tcPr>
            <w:tcW w:type="dxa" w:w="5669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susana.estables@gaiax-spain.com</w:t>
            </w:r>
          </w:p>
        </w:tc>
      </w:tr>
      <w:tr>
        <w:tc>
          <w:tcPr>
            <w:tcW w:type="dxa" w:w="3402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Asunto del correo</w:t>
            </w:r>
          </w:p>
        </w:tc>
        <w:tc>
          <w:tcPr>
            <w:tcW w:type="dxa" w:w="5669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Oferta Estudio Datos Abiertos 2024-2026 - [Nombre del Licitador]</w:t>
            </w:r>
          </w:p>
        </w:tc>
      </w:tr>
    </w:tbl>
    <w:p/>
    <w:p>
      <w:pPr>
        <w:spacing w:before="40" w:after="80"/>
      </w:pPr>
      <w:r>
        <w:rPr>
          <w:rFonts w:ascii="Times New Roman" w:hAnsi="Times New Roman"/>
          <w:sz w:val="21"/>
        </w:rPr>
        <w:t xml:space="preserve">El presente documento constituye la plantilla del Archivo B (Propuesta Técnica y de Plazos). El licitador deberá cumplimentar todas las secciones marcadas y </w:t>
      </w:r>
      <w:r>
        <w:rPr>
          <w:rFonts w:ascii="Times New Roman" w:hAnsi="Times New Roman"/>
          <w:b/>
          <w:sz w:val="21"/>
        </w:rPr>
        <w:t>eliminar las instrucciones en cursiva</w:t>
      </w:r>
      <w:r>
        <w:rPr>
          <w:rFonts w:ascii="Times New Roman" w:hAnsi="Times New Roman"/>
          <w:sz w:val="21"/>
        </w:rPr>
        <w:t xml:space="preserve"> antes de presentar su oferta. Los tres archivos (A, B y C) deben enviarse como documentos PDF independientes.</w:t>
      </w:r>
    </w:p>
    <w:p>
      <w:pPr>
        <w:spacing w:before="40" w:after="80"/>
      </w:pPr>
      <w:r>
        <w:rPr>
          <w:rFonts w:ascii="Times New Roman" w:hAnsi="Times New Roman"/>
          <w:b/>
          <w:sz w:val="21"/>
        </w:rPr>
        <w:t>Criterio 4 (Experiencia demostrada · hasta 5 puntos)</w:t>
      </w:r>
      <w:r>
        <w:rPr>
          <w:rFonts w:ascii="Times New Roman" w:hAnsi="Times New Roman"/>
          <w:sz w:val="21"/>
        </w:rPr>
        <w:t xml:space="preserve"> se acredita exclusivamente mediante los documentos adjuntos </w:t>
      </w:r>
      <w:r>
        <w:rPr>
          <w:rFonts w:ascii="Times New Roman" w:hAnsi="Times New Roman"/>
          <w:b/>
          <w:sz w:val="21"/>
        </w:rPr>
        <w:t>B_PlantillaCV</w:t>
      </w:r>
      <w:r>
        <w:rPr>
          <w:rFonts w:ascii="Times New Roman" w:hAnsi="Times New Roman"/>
          <w:sz w:val="21"/>
        </w:rPr>
        <w:t xml:space="preserve"> (un CV por cada uno de los dos perfiles obligatorios) y </w:t>
      </w:r>
      <w:r>
        <w:rPr>
          <w:rFonts w:ascii="Times New Roman" w:hAnsi="Times New Roman"/>
          <w:b/>
          <w:sz w:val="21"/>
        </w:rPr>
        <w:t>B_AcreditacionExperiencia</w:t>
      </w:r>
      <w:r>
        <w:rPr>
          <w:rFonts w:ascii="Times New Roman" w:hAnsi="Times New Roman"/>
          <w:sz w:val="21"/>
        </w:rPr>
        <w:t>. Estos documentos no se duplican en el cuerpo de esta propuesta; véase el listado de adjuntos en la sección 8.</w:t>
      </w:r>
    </w:p>
    <w:p>
      <w:pPr>
        <w:spacing w:before="40" w:after="80"/>
      </w:pPr>
      <w:r>
        <w:rPr>
          <w:rFonts w:ascii="Times New Roman" w:hAnsi="Times New Roman"/>
          <w:b/>
          <w:color w:val="C55A11"/>
          <w:sz w:val="20"/>
        </w:rPr>
        <w:t>⚠  REQUISITOS MÍNIMOS DE EXCLUSIÓN (equipo de trabajo): (1) Al menos 1 persona con más de 5 años de experiencia en datos abiertos y reutilización de información del sector público. (2) Al menos 1 persona con más de 3 años de experiencia en análisis de políticas públicas digitales o economía del dato. El incumplimiento de cualquiera de estos requisitos supone la exclusión automática de la licitación.</w:t>
      </w:r>
    </w:p>
    <w:p>
      <w:pPr>
        <w:pBdr>
          <w:bottom w:val="single" w:sz="6" w:space="1" w:color="2E74B5"/>
        </w:pBdr>
      </w:pPr>
    </w:p>
    <w:p>
      <w:pPr>
        <w:spacing w:before="280" w:after="80"/>
      </w:pPr>
      <w:r>
        <w:rPr>
          <w:rFonts w:ascii="Calibri" w:hAnsi="Calibri"/>
          <w:b/>
          <w:color w:val="1F5C99"/>
          <w:sz w:val="26"/>
        </w:rPr>
        <w:t>ÍNDICE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41"/>
        <w:gridCol w:w="3041"/>
        <w:gridCol w:w="3041"/>
      </w:tblGrid>
      <w:tr>
        <w:tc>
          <w:tcPr>
            <w:tcW w:type="dxa" w:w="680"/>
            <w:shd w:val="clear" w:color="auto" w:fill="F2F2F2"/>
          </w:tcPr>
          <w:p>
            <w:r>
              <w:rPr>
                <w:rFonts w:ascii="Calibri" w:hAnsi="Calibri"/>
                <w:b/>
                <w:sz w:val="20"/>
              </w:rPr>
              <w:t>0</w:t>
            </w:r>
          </w:p>
        </w:tc>
        <w:tc>
          <w:tcPr>
            <w:tcW w:type="dxa" w:w="6236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Datos del licitador</w:t>
            </w:r>
          </w:p>
        </w:tc>
        <w:tc>
          <w:tcPr>
            <w:tcW w:type="dxa" w:w="2154"/>
            <w:shd w:val="clear" w:color="auto" w:fill="F2F2F2"/>
          </w:tcPr>
          <w:p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680"/>
            <w:shd w:val="clear" w:color="auto" w:fill="FFFFFF"/>
          </w:tcPr>
          <w:p>
            <w:r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type="dxa" w:w="6236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Propuesta de valor y diseño funcional del estudio</w:t>
            </w:r>
          </w:p>
        </w:tc>
        <w:tc>
          <w:tcPr>
            <w:tcW w:type="dxa" w:w="2154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680"/>
            <w:shd w:val="clear" w:color="auto" w:fill="F2F2F2"/>
          </w:tcPr>
          <w:p>
            <w:r>
              <w:rPr>
                <w:rFonts w:ascii="Calibri" w:hAnsi="Calibri"/>
                <w:b/>
                <w:sz w:val="20"/>
              </w:rPr>
              <w:t>2</w:t>
            </w:r>
          </w:p>
        </w:tc>
        <w:tc>
          <w:tcPr>
            <w:tcW w:type="dxa" w:w="6236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Metodología de investigación</w:t>
            </w:r>
          </w:p>
        </w:tc>
        <w:tc>
          <w:tcPr>
            <w:tcW w:type="dxa" w:w="2154"/>
            <w:shd w:val="clear" w:color="auto" w:fill="F2F2F2"/>
          </w:tcPr>
          <w:p>
            <w:r>
              <w:rPr>
                <w:rFonts w:ascii="Times New Roman" w:hAnsi="Times New Roman"/>
                <w:b/>
                <w:color w:val="378644"/>
                <w:sz w:val="19"/>
              </w:rPr>
              <w:t>Criterio 1 · hasta 30 pts</w:t>
            </w:r>
          </w:p>
        </w:tc>
      </w:tr>
      <w:tr>
        <w:tc>
          <w:tcPr>
            <w:tcW w:type="dxa" w:w="680"/>
            <w:shd w:val="clear" w:color="auto" w:fill="FFFFFF"/>
          </w:tcPr>
          <w:p>
            <w:r>
              <w:rPr>
                <w:rFonts w:ascii="Calibri" w:hAnsi="Calibri"/>
                <w:b/>
                <w:sz w:val="20"/>
              </w:rPr>
              <w:t>2.1</w:t>
            </w:r>
          </w:p>
        </w:tc>
        <w:tc>
          <w:tcPr>
            <w:tcW w:type="dxa" w:w="6236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 xml:space="preserve">  Análisis longitudinal 2024-2026</w:t>
            </w:r>
          </w:p>
        </w:tc>
        <w:tc>
          <w:tcPr>
            <w:tcW w:type="dxa" w:w="2154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680"/>
            <w:shd w:val="clear" w:color="auto" w:fill="F2F2F2"/>
          </w:tcPr>
          <w:p>
            <w:r>
              <w:rPr>
                <w:rFonts w:ascii="Calibri" w:hAnsi="Calibri"/>
                <w:b/>
                <w:sz w:val="20"/>
              </w:rPr>
              <w:t>2.2</w:t>
            </w:r>
          </w:p>
        </w:tc>
        <w:tc>
          <w:tcPr>
            <w:tcW w:type="dxa" w:w="6236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 xml:space="preserve">  Análisis de calidad de datasets y fuentes de datos</w:t>
            </w:r>
          </w:p>
        </w:tc>
        <w:tc>
          <w:tcPr>
            <w:tcW w:type="dxa" w:w="2154"/>
            <w:shd w:val="clear" w:color="auto" w:fill="F2F2F2"/>
          </w:tcPr>
          <w:p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680"/>
            <w:shd w:val="clear" w:color="auto" w:fill="FFFFFF"/>
          </w:tcPr>
          <w:p>
            <w:r>
              <w:rPr>
                <w:rFonts w:ascii="Calibri" w:hAnsi="Calibri"/>
                <w:b/>
                <w:sz w:val="20"/>
              </w:rPr>
              <w:t>2.3</w:t>
            </w:r>
          </w:p>
        </w:tc>
        <w:tc>
          <w:tcPr>
            <w:tcW w:type="dxa" w:w="6236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 xml:space="preserve">  Priorización de datasets para la economía del dato</w:t>
            </w:r>
          </w:p>
        </w:tc>
        <w:tc>
          <w:tcPr>
            <w:tcW w:type="dxa" w:w="2154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680"/>
            <w:shd w:val="clear" w:color="auto" w:fill="F2F2F2"/>
          </w:tcPr>
          <w:p>
            <w:r>
              <w:rPr>
                <w:rFonts w:ascii="Calibri" w:hAnsi="Calibri"/>
                <w:b/>
                <w:sz w:val="20"/>
              </w:rPr>
              <w:t>2.4</w:t>
            </w:r>
          </w:p>
        </w:tc>
        <w:tc>
          <w:tcPr>
            <w:tcW w:type="dxa" w:w="6236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 xml:space="preserve">  Análisis de Datos de Alto Valor (Regl. UE 2023/138)</w:t>
            </w:r>
          </w:p>
        </w:tc>
        <w:tc>
          <w:tcPr>
            <w:tcW w:type="dxa" w:w="2154"/>
            <w:shd w:val="clear" w:color="auto" w:fill="F2F2F2"/>
          </w:tcPr>
          <w:p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680"/>
            <w:shd w:val="clear" w:color="auto" w:fill="FFFFFF"/>
          </w:tcPr>
          <w:p>
            <w:r>
              <w:rPr>
                <w:rFonts w:ascii="Calibri" w:hAnsi="Calibri"/>
                <w:b/>
                <w:sz w:val="20"/>
              </w:rPr>
              <w:t>2.5</w:t>
            </w:r>
          </w:p>
        </w:tc>
        <w:tc>
          <w:tcPr>
            <w:tcW w:type="dxa" w:w="6236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 xml:space="preserve">  Metodología de evaluación de impacto</w:t>
            </w:r>
          </w:p>
        </w:tc>
        <w:tc>
          <w:tcPr>
            <w:tcW w:type="dxa" w:w="2154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680"/>
            <w:shd w:val="clear" w:color="auto" w:fill="F2F2F2"/>
          </w:tcPr>
          <w:p>
            <w:r>
              <w:rPr>
                <w:rFonts w:ascii="Calibri" w:hAnsi="Calibri"/>
                <w:b/>
                <w:sz w:val="20"/>
              </w:rPr>
              <w:t>3</w:t>
            </w:r>
          </w:p>
        </w:tc>
        <w:tc>
          <w:tcPr>
            <w:tcW w:type="dxa" w:w="6236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Modelo de datos y estructuración</w:t>
            </w:r>
          </w:p>
        </w:tc>
        <w:tc>
          <w:tcPr>
            <w:tcW w:type="dxa" w:w="2154"/>
            <w:shd w:val="clear" w:color="auto" w:fill="F2F2F2"/>
          </w:tcPr>
          <w:p>
            <w:r>
              <w:rPr>
                <w:rFonts w:ascii="Times New Roman" w:hAnsi="Times New Roman"/>
                <w:b/>
                <w:color w:val="378644"/>
                <w:sz w:val="19"/>
              </w:rPr>
              <w:t>Criterio 2 · hasta 5 pts</w:t>
            </w:r>
          </w:p>
        </w:tc>
      </w:tr>
      <w:tr>
        <w:tc>
          <w:tcPr>
            <w:tcW w:type="dxa" w:w="680"/>
            <w:shd w:val="clear" w:color="auto" w:fill="FFFFFF"/>
          </w:tcPr>
          <w:p>
            <w:r>
              <w:rPr>
                <w:rFonts w:ascii="Calibri" w:hAnsi="Calibri"/>
                <w:b/>
                <w:sz w:val="20"/>
              </w:rPr>
              <w:t>4</w:t>
            </w:r>
          </w:p>
        </w:tc>
        <w:tc>
          <w:tcPr>
            <w:tcW w:type="dxa" w:w="6236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Visualización y comunicación de resultados</w:t>
            </w:r>
          </w:p>
        </w:tc>
        <w:tc>
          <w:tcPr>
            <w:tcW w:type="dxa" w:w="2154"/>
            <w:shd w:val="clear" w:color="auto" w:fill="FFFFFF"/>
          </w:tcPr>
          <w:p>
            <w:r>
              <w:rPr>
                <w:rFonts w:ascii="Times New Roman" w:hAnsi="Times New Roman"/>
                <w:b/>
                <w:color w:val="378644"/>
                <w:sz w:val="19"/>
              </w:rPr>
              <w:t>Criterio 3 · hasta 5 pts</w:t>
            </w:r>
          </w:p>
        </w:tc>
      </w:tr>
      <w:tr>
        <w:tc>
          <w:tcPr>
            <w:tcW w:type="dxa" w:w="680"/>
            <w:shd w:val="clear" w:color="auto" w:fill="F2F2F2"/>
          </w:tcPr>
          <w:p>
            <w:r>
              <w:rPr>
                <w:rFonts w:ascii="Calibri" w:hAnsi="Calibri"/>
                <w:b/>
                <w:sz w:val="20"/>
              </w:rPr>
              <w:t>5</w:t>
            </w:r>
          </w:p>
        </w:tc>
        <w:tc>
          <w:tcPr>
            <w:tcW w:type="dxa" w:w="6236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Plan de consulta al ecosistema</w:t>
            </w:r>
          </w:p>
        </w:tc>
        <w:tc>
          <w:tcPr>
            <w:tcW w:type="dxa" w:w="2154"/>
            <w:shd w:val="clear" w:color="auto" w:fill="F2F2F2"/>
          </w:tcPr>
          <w:p>
            <w:r>
              <w:rPr>
                <w:rFonts w:ascii="Times New Roman" w:hAnsi="Times New Roman"/>
                <w:b/>
                <w:color w:val="378644"/>
                <w:sz w:val="19"/>
              </w:rPr>
              <w:t>hasta 10 pts adicionales</w:t>
            </w:r>
          </w:p>
        </w:tc>
      </w:tr>
      <w:tr>
        <w:tc>
          <w:tcPr>
            <w:tcW w:type="dxa" w:w="680"/>
            <w:shd w:val="clear" w:color="auto" w:fill="FFFFFF"/>
          </w:tcPr>
          <w:p>
            <w:r>
              <w:rPr>
                <w:rFonts w:ascii="Calibri" w:hAnsi="Calibri"/>
                <w:b/>
                <w:sz w:val="20"/>
              </w:rPr>
              <w:t>6</w:t>
            </w:r>
          </w:p>
        </w:tc>
        <w:tc>
          <w:tcPr>
            <w:tcW w:type="dxa" w:w="6236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Ampliación del alcance del análisis</w:t>
            </w:r>
          </w:p>
        </w:tc>
        <w:tc>
          <w:tcPr>
            <w:tcW w:type="dxa" w:w="2154"/>
            <w:shd w:val="clear" w:color="auto" w:fill="FFFFFF"/>
          </w:tcPr>
          <w:p>
            <w:r>
              <w:rPr>
                <w:rFonts w:ascii="Times New Roman" w:hAnsi="Times New Roman"/>
                <w:b/>
                <w:color w:val="378644"/>
                <w:sz w:val="19"/>
              </w:rPr>
              <w:t>hasta 10 pts adicionales</w:t>
            </w:r>
          </w:p>
        </w:tc>
      </w:tr>
      <w:tr>
        <w:tc>
          <w:tcPr>
            <w:tcW w:type="dxa" w:w="680"/>
            <w:shd w:val="clear" w:color="auto" w:fill="F2F2F2"/>
          </w:tcPr>
          <w:p>
            <w:r>
              <w:rPr>
                <w:rFonts w:ascii="Calibri" w:hAnsi="Calibri"/>
                <w:b/>
                <w:sz w:val="20"/>
              </w:rPr>
              <w:t>7</w:t>
            </w:r>
          </w:p>
        </w:tc>
        <w:tc>
          <w:tcPr>
            <w:tcW w:type="dxa" w:w="6236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Cronograma de ejecución</w:t>
            </w:r>
          </w:p>
        </w:tc>
        <w:tc>
          <w:tcPr>
            <w:tcW w:type="dxa" w:w="2154"/>
            <w:shd w:val="clear" w:color="auto" w:fill="F2F2F2"/>
          </w:tcPr>
          <w:p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680"/>
            <w:shd w:val="clear" w:color="auto" w:fill="FFFFFF"/>
          </w:tcPr>
          <w:p>
            <w:r>
              <w:rPr>
                <w:rFonts w:ascii="Calibri" w:hAnsi="Calibri"/>
                <w:b/>
                <w:sz w:val="20"/>
              </w:rPr>
              <w:t>8</w:t>
            </w:r>
          </w:p>
        </w:tc>
        <w:tc>
          <w:tcPr>
            <w:tcW w:type="dxa" w:w="6236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Listado de documentos adjuntos</w:t>
            </w:r>
          </w:p>
        </w:tc>
        <w:tc>
          <w:tcPr>
            <w:tcW w:type="dxa" w:w="2154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680"/>
            <w:shd w:val="clear" w:color="auto" w:fill="F2F2F2"/>
          </w:tcPr>
          <w:p>
            <w:r>
              <w:rPr>
                <w:rFonts w:ascii="Calibri" w:hAnsi="Calibri"/>
                <w:b/>
                <w:sz w:val="20"/>
              </w:rPr>
              <w:t>ADJ.</w:t>
            </w:r>
          </w:p>
        </w:tc>
        <w:tc>
          <w:tcPr>
            <w:tcW w:type="dxa" w:w="6236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Criterio 4 — Experiencia demostrada: acreditada mediante B_PlantillaCV (dos perfiles) y B_AcreditacionExperiencia</w:t>
            </w:r>
          </w:p>
        </w:tc>
        <w:tc>
          <w:tcPr>
            <w:tcW w:type="dxa" w:w="2154"/>
            <w:shd w:val="clear" w:color="auto" w:fill="F2F2F2"/>
          </w:tcPr>
          <w:p>
            <w:r>
              <w:rPr>
                <w:rFonts w:ascii="Times New Roman" w:hAnsi="Times New Roman"/>
                <w:b/>
                <w:color w:val="378644"/>
                <w:sz w:val="19"/>
              </w:rPr>
              <w:t>Criterio 4 · hasta 5 pts</w:t>
            </w:r>
          </w:p>
        </w:tc>
      </w:tr>
    </w:tbl>
    <w:p>
      <w:br w:type="page"/>
    </w:p>
    <w:p>
      <w:pPr>
        <w:spacing w:before="280" w:after="80"/>
      </w:pPr>
      <w:r>
        <w:rPr>
          <w:rFonts w:ascii="Calibri" w:hAnsi="Calibri"/>
          <w:b/>
          <w:color w:val="1F5C99"/>
          <w:sz w:val="26"/>
        </w:rPr>
        <w:t xml:space="preserve">0  </w:t>
      </w:r>
      <w:r>
        <w:rPr>
          <w:rFonts w:ascii="Calibri" w:hAnsi="Calibri"/>
          <w:b/>
          <w:color w:val="1F5C99"/>
          <w:sz w:val="26"/>
        </w:rPr>
        <w:t>DATOS DEL LICITADOR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Cumplimente los datos de la entidad licitadora. Los CVs de los dos perfiles obligatorios deben adjuntarse usando la plantilla B_PlantillaCV.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561"/>
        <w:gridCol w:w="4561"/>
      </w:tblGrid>
      <w:tr>
        <w:tc>
          <w:tcPr>
            <w:tcW w:type="dxa" w:w="3685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Campo</w:t>
            </w:r>
          </w:p>
        </w:tc>
        <w:tc>
          <w:tcPr>
            <w:tcW w:type="dxa" w:w="5386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Valor</w:t>
            </w:r>
          </w:p>
        </w:tc>
      </w:tr>
      <w:tr>
        <w:tc>
          <w:tcPr>
            <w:tcW w:type="dxa" w:w="368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Razón social / Nombre</w:t>
            </w:r>
          </w:p>
        </w:tc>
        <w:tc>
          <w:tcPr>
            <w:tcW w:type="dxa" w:w="5386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[RAZÓN SOCIAL]</w:t>
            </w:r>
          </w:p>
        </w:tc>
      </w:tr>
      <w:tr>
        <w:tc>
          <w:tcPr>
            <w:tcW w:type="dxa" w:w="3685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CIF / DNI-NIE</w:t>
            </w:r>
          </w:p>
        </w:tc>
        <w:tc>
          <w:tcPr>
            <w:tcW w:type="dxa" w:w="5386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[CIF]</w:t>
            </w:r>
          </w:p>
        </w:tc>
      </w:tr>
      <w:tr>
        <w:tc>
          <w:tcPr>
            <w:tcW w:type="dxa" w:w="368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Domicilio social</w:t>
            </w:r>
          </w:p>
        </w:tc>
        <w:tc>
          <w:tcPr>
            <w:tcW w:type="dxa" w:w="5386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[DIRECCIÓN COMPLETA]</w:t>
            </w:r>
          </w:p>
        </w:tc>
      </w:tr>
      <w:tr>
        <w:tc>
          <w:tcPr>
            <w:tcW w:type="dxa" w:w="3685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Representante legal</w:t>
            </w:r>
          </w:p>
        </w:tc>
        <w:tc>
          <w:tcPr>
            <w:tcW w:type="dxa" w:w="5386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[NOMBRE Y APELLIDOS]</w:t>
            </w:r>
          </w:p>
        </w:tc>
      </w:tr>
      <w:tr>
        <w:tc>
          <w:tcPr>
            <w:tcW w:type="dxa" w:w="368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Cargo del representante</w:t>
            </w:r>
          </w:p>
        </w:tc>
        <w:tc>
          <w:tcPr>
            <w:tcW w:type="dxa" w:w="5386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[CARGO]</w:t>
            </w:r>
          </w:p>
        </w:tc>
      </w:tr>
      <w:tr>
        <w:tc>
          <w:tcPr>
            <w:tcW w:type="dxa" w:w="3685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Persona de contacto para dudas</w:t>
            </w:r>
          </w:p>
        </w:tc>
        <w:tc>
          <w:tcPr>
            <w:tcW w:type="dxa" w:w="5386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[NOMBRE Y APELLIDOS]</w:t>
            </w:r>
          </w:p>
        </w:tc>
      </w:tr>
      <w:tr>
        <w:tc>
          <w:tcPr>
            <w:tcW w:type="dxa" w:w="368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Correo electrónico de contacto</w:t>
            </w:r>
          </w:p>
        </w:tc>
        <w:tc>
          <w:tcPr>
            <w:tcW w:type="dxa" w:w="5386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[EMAIL]</w:t>
            </w:r>
          </w:p>
        </w:tc>
      </w:tr>
      <w:tr>
        <w:tc>
          <w:tcPr>
            <w:tcW w:type="dxa" w:w="3685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Teléfono de contacto</w:t>
            </w:r>
          </w:p>
        </w:tc>
        <w:tc>
          <w:tcPr>
            <w:tcW w:type="dxa" w:w="5386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[TELÉFONO]</w:t>
            </w:r>
          </w:p>
        </w:tc>
      </w:tr>
      <w:tr>
        <w:tc>
          <w:tcPr>
            <w:tcW w:type="dxa" w:w="368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¿Es entidad vinculada a Gaia-X España?</w:t>
            </w:r>
          </w:p>
        </w:tc>
        <w:tc>
          <w:tcPr>
            <w:tcW w:type="dxa" w:w="5386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 ] Sí  — adjuntar C2_Desglose_Costes_Entidades_Vinculadas</w:t>
              <w:br/>
              <w:t>[ ] No</w:t>
            </w:r>
          </w:p>
        </w:tc>
      </w:tr>
    </w:tbl>
    <w:p/>
    <w:p>
      <w:pPr>
        <w:pBdr>
          <w:bottom w:val="single" w:sz="6" w:space="1" w:color="2E74B5"/>
        </w:pBdr>
      </w:pPr>
    </w:p>
    <w:p>
      <w:br w:type="page"/>
    </w:p>
    <w:p>
      <w:pPr>
        <w:spacing w:before="280" w:after="80"/>
      </w:pPr>
      <w:r>
        <w:rPr>
          <w:rFonts w:ascii="Calibri" w:hAnsi="Calibri"/>
          <w:b/>
          <w:color w:val="1F5C99"/>
          <w:sz w:val="26"/>
        </w:rPr>
        <w:t xml:space="preserve">1  </w:t>
      </w:r>
      <w:r>
        <w:rPr>
          <w:rFonts w:ascii="Calibri" w:hAnsi="Calibri"/>
          <w:b/>
          <w:color w:val="1F5C99"/>
          <w:sz w:val="26"/>
        </w:rPr>
        <w:t>PROPUESTA DE VALOR Y DISEÑO FUNCIONAL DEL ESTUDIO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Describa el enfoque general de su propuesta: qué valor diferencial aporta su equipo y cómo concibe el diseño funcional del estudio. Explique cómo se articulan los tres módulos anuales (2024, 2025, 2026) en una visión de conjunto. Extensión recomendada: 1-2 páginas.</w:t>
      </w:r>
    </w:p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1.1  </w:t>
      </w:r>
      <w:r>
        <w:rPr>
          <w:rFonts w:ascii="Calibri" w:hAnsi="Calibri"/>
          <w:b/>
          <w:color w:val="2E74B5"/>
          <w:sz w:val="22"/>
        </w:rPr>
        <w:t>Visión general y enfoque diferencial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1.2  </w:t>
      </w:r>
      <w:r>
        <w:rPr>
          <w:rFonts w:ascii="Calibri" w:hAnsi="Calibri"/>
          <w:b/>
          <w:color w:val="2E74B5"/>
          <w:sz w:val="22"/>
        </w:rPr>
        <w:t>Diseño funcional del estudio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Describa cómo se estructura el estudio en sus tres módulos anuales, cómo se relacionan entre sí y cómo garantiza la comparabilidad longitudinal de los resultados.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6" w:space="1" w:color="2E74B5"/>
        </w:pBdr>
      </w:pPr>
    </w:p>
    <w:p>
      <w:br w:type="page"/>
    </w:p>
    <w:p>
      <w:pPr>
        <w:spacing w:before="280" w:after="80"/>
      </w:pPr>
      <w:r>
        <w:rPr>
          <w:rFonts w:ascii="Calibri" w:hAnsi="Calibri"/>
          <w:b/>
          <w:color w:val="1F5C99"/>
          <w:sz w:val="26"/>
        </w:rPr>
        <w:t xml:space="preserve">2  </w:t>
      </w:r>
      <w:r>
        <w:rPr>
          <w:rFonts w:ascii="Calibri" w:hAnsi="Calibri"/>
          <w:b/>
          <w:color w:val="1F5C99"/>
          <w:sz w:val="26"/>
        </w:rPr>
        <w:t>METODOLOGÍA DE INVESTIGACIÓN</w:t>
      </w:r>
      <w:r>
        <w:rPr>
          <w:rFonts w:ascii="Calibri" w:hAnsi="Calibri"/>
          <w:b/>
          <w:color w:val="378644"/>
          <w:sz w:val="20"/>
        </w:rPr>
        <w:t xml:space="preserve">   [Criterio 1 · hasta 30 puntos]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Esta sección es la de mayor peso en la evaluación (30 puntos). Describa con detalle y rigor metodológico cada uno de los apartados. Se valorará un enfoque sistemático y replicable, el uso de fuentes primarias y secundarias, mecanismos de validación de calidad y el conocimiento de la normativa HVD.</w:t>
      </w:r>
    </w:p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2.1  </w:t>
      </w:r>
      <w:r>
        <w:rPr>
          <w:rFonts w:ascii="Calibri" w:hAnsi="Calibri"/>
          <w:b/>
          <w:color w:val="2E74B5"/>
          <w:sz w:val="22"/>
        </w:rPr>
        <w:t>Análisis longitudinal 2024-2026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Explique cómo garantiza la coherencia y comparabilidad del análisis a lo largo de los tres años (2024, 2025, 2026). Incluya: selección y mantenimiento de indicadores, tratamiento de cambios en los portales fuente, metodología de captura de datos históricos y gestión de inconsistencias.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2.2  </w:t>
      </w:r>
      <w:r>
        <w:rPr>
          <w:rFonts w:ascii="Calibri" w:hAnsi="Calibri"/>
          <w:b/>
          <w:color w:val="2E74B5"/>
          <w:sz w:val="22"/>
        </w:rPr>
        <w:t>Análisis de calidad de datasets y fuentes de datos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Detalle la metodología completa para el análisis de calidad de los conjuntos de datos publicados en los portales de datos abiertos de AGE, CCAA y EELL.</w:t>
      </w:r>
    </w:p>
    <w:p>
      <w:pPr>
        <w:spacing w:before="140" w:after="40"/>
      </w:pPr>
      <w:r>
        <w:rPr>
          <w:rFonts w:ascii="Calibri" w:hAnsi="Calibri"/>
          <w:b/>
          <w:sz w:val="21"/>
        </w:rPr>
        <w:t>2.2.1  Fuentes primarias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Describa las fuentes primarias que utilizará (APIs de portales, scraping estructurado, descarga directa de catálogos DCAT-AP, etc.) y la metodología de extracción.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spacing w:before="140" w:after="40"/>
      </w:pPr>
      <w:r>
        <w:rPr>
          <w:rFonts w:ascii="Calibri" w:hAnsi="Calibri"/>
          <w:b/>
          <w:sz w:val="21"/>
        </w:rPr>
        <w:t>2.2.2  Fuentes secundarias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Describa las fuentes secundarias que complementarán el análisis (informes previos, estadísticas de uso publicadas, literatura académica, etc.).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spacing w:before="140" w:after="40"/>
      </w:pPr>
      <w:r>
        <w:rPr>
          <w:rFonts w:ascii="Calibri" w:hAnsi="Calibri"/>
          <w:b/>
          <w:sz w:val="21"/>
        </w:rPr>
        <w:t>2.2.3  Mecanismos de validación de calidad de los datos analizados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Explique cómo validará la calidad de los datos recopilados: contrastes cruzados, tamaño y diseño del muestreo estadístico, criterios de aceptación/rechazo de datasets, etc.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2.3  </w:t>
      </w:r>
      <w:r>
        <w:rPr>
          <w:rFonts w:ascii="Calibri" w:hAnsi="Calibri"/>
          <w:b/>
          <w:color w:val="2E74B5"/>
          <w:sz w:val="22"/>
        </w:rPr>
        <w:t>Metodología de priorización de datasets para la economía del dato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Proponga y justifique los criterios que aplicará para identificar y priorizar los conjuntos de datos con mayor relevancia para la economía del dato. El análisis en profundidad se concentrará en un máximo de 30 datasets priorizados. Gaia-X España validará estos criterios antes de su aplicación (Entregable 0).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Tabla de criterios de priorización propuestos (añada o modifique filas según su propuesta):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041"/>
        <w:gridCol w:w="3041"/>
        <w:gridCol w:w="3041"/>
      </w:tblGrid>
      <w:tr>
        <w:tc>
          <w:tcPr>
            <w:tcW w:type="dxa" w:w="2268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Criterio</w:t>
            </w:r>
          </w:p>
        </w:tc>
        <w:tc>
          <w:tcPr>
            <w:tcW w:type="dxa" w:w="4535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Descripción</w:t>
            </w:r>
          </w:p>
        </w:tc>
        <w:tc>
          <w:tcPr>
            <w:tcW w:type="dxa" w:w="2268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Ponderación propuesta</w:t>
            </w:r>
          </w:p>
        </w:tc>
      </w:tr>
      <w:tr>
        <w:tc>
          <w:tcPr>
            <w:tcW w:type="dxa" w:w="2268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Demanda del ecosistema</w:t>
            </w:r>
          </w:p>
        </w:tc>
        <w:tc>
          <w:tcPr>
            <w:tcW w:type="dxa" w:w="453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268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 xml:space="preserve">  %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Potencial económico</w:t>
            </w:r>
          </w:p>
        </w:tc>
        <w:tc>
          <w:tcPr>
            <w:tcW w:type="dxa" w:w="4535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268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 xml:space="preserve">  %</w:t>
            </w:r>
          </w:p>
        </w:tc>
      </w:tr>
      <w:tr>
        <w:tc>
          <w:tcPr>
            <w:tcW w:type="dxa" w:w="2268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Calidad y madurez</w:t>
            </w:r>
          </w:p>
        </w:tc>
        <w:tc>
          <w:tcPr>
            <w:tcW w:type="dxa" w:w="453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268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 xml:space="preserve">  %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Alineamiento con HVD</w:t>
            </w:r>
          </w:p>
        </w:tc>
        <w:tc>
          <w:tcPr>
            <w:tcW w:type="dxa" w:w="4535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268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 xml:space="preserve">  %</w:t>
            </w:r>
          </w:p>
        </w:tc>
      </w:tr>
      <w:tr>
        <w:tc>
          <w:tcPr>
            <w:tcW w:type="dxa" w:w="2268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Relevancia para data spaces</w:t>
            </w:r>
          </w:p>
        </w:tc>
        <w:tc>
          <w:tcPr>
            <w:tcW w:type="dxa" w:w="453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268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 xml:space="preserve">  %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[Criterio propio]</w:t>
            </w:r>
          </w:p>
        </w:tc>
        <w:tc>
          <w:tcPr>
            <w:tcW w:type="dxa" w:w="4535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268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 xml:space="preserve">  %</w:t>
            </w:r>
          </w:p>
        </w:tc>
      </w:tr>
    </w:tbl>
    <w:p/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2.4  </w:t>
      </w:r>
      <w:r>
        <w:rPr>
          <w:rFonts w:ascii="Calibri" w:hAnsi="Calibri"/>
          <w:b/>
          <w:color w:val="2E74B5"/>
          <w:sz w:val="22"/>
        </w:rPr>
        <w:t>Análisis de Datos de Alto Valor (Reglamento UE 2023/138)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Describa el método con el que verificará el grado de cumplimiento de los HVD en España y detectará brechas en cada una de las seis categorías. Demuestre conocimiento del Reglamento de Ejecución (UE) 2023/138 y de sus requisitos de acceso (gratuito, API, licencia abierta, formato legible por máquina).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Esquema de análisis por categoría HVD: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2280"/>
        <w:gridCol w:w="2280"/>
        <w:gridCol w:w="2280"/>
        <w:gridCol w:w="2280"/>
      </w:tblGrid>
      <w:tr>
        <w:tc>
          <w:tcPr>
            <w:tcW w:type="dxa" w:w="1587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Categoría HVD</w:t>
            </w:r>
          </w:p>
        </w:tc>
        <w:tc>
          <w:tcPr>
            <w:tcW w:type="dxa" w:w="2154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Fuentes/portales identificados</w:t>
            </w:r>
          </w:p>
        </w:tc>
        <w:tc>
          <w:tcPr>
            <w:tcW w:type="dxa" w:w="2381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Método de verificación de cumplimiento</w:t>
            </w:r>
          </w:p>
        </w:tc>
        <w:tc>
          <w:tcPr>
            <w:tcW w:type="dxa" w:w="2948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Principales brechas esperadas</w:t>
            </w:r>
          </w:p>
        </w:tc>
      </w:tr>
      <w:tr>
        <w:tc>
          <w:tcPr>
            <w:tcW w:type="dxa" w:w="1587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Geoespacial</w:t>
            </w:r>
          </w:p>
        </w:tc>
        <w:tc>
          <w:tcPr>
            <w:tcW w:type="dxa" w:w="2154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381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948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</w:tr>
      <w:tr>
        <w:tc>
          <w:tcPr>
            <w:tcW w:type="dxa" w:w="1587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Observación de la Tierra</w:t>
            </w:r>
          </w:p>
        </w:tc>
        <w:tc>
          <w:tcPr>
            <w:tcW w:type="dxa" w:w="2154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381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948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</w:tr>
      <w:tr>
        <w:tc>
          <w:tcPr>
            <w:tcW w:type="dxa" w:w="1587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Meteorológicos</w:t>
            </w:r>
          </w:p>
        </w:tc>
        <w:tc>
          <w:tcPr>
            <w:tcW w:type="dxa" w:w="2154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381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948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</w:tr>
      <w:tr>
        <w:tc>
          <w:tcPr>
            <w:tcW w:type="dxa" w:w="1587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Estadísticos</w:t>
            </w:r>
          </w:p>
        </w:tc>
        <w:tc>
          <w:tcPr>
            <w:tcW w:type="dxa" w:w="2154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381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948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</w:tr>
      <w:tr>
        <w:tc>
          <w:tcPr>
            <w:tcW w:type="dxa" w:w="1587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Empresas</w:t>
            </w:r>
          </w:p>
        </w:tc>
        <w:tc>
          <w:tcPr>
            <w:tcW w:type="dxa" w:w="2154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381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948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</w:tr>
      <w:tr>
        <w:tc>
          <w:tcPr>
            <w:tcW w:type="dxa" w:w="1587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Movilidad</w:t>
            </w:r>
          </w:p>
        </w:tc>
        <w:tc>
          <w:tcPr>
            <w:tcW w:type="dxa" w:w="2154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381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2948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</w:tr>
    </w:tbl>
    <w:p/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2.5  </w:t>
      </w:r>
      <w:r>
        <w:rPr>
          <w:rFonts w:ascii="Calibri" w:hAnsi="Calibri"/>
          <w:b/>
          <w:color w:val="2E74B5"/>
          <w:sz w:val="22"/>
        </w:rPr>
        <w:t>Metodología de evaluación de impacto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Proponga el enfoque para la evaluación de impacto, proporcional al alcance del contrato (25.000 €). Esta metodología deberá incluirse en el Entregable 0 para su validación por Gaia-X España antes de su aplicación.</w:t>
      </w:r>
    </w:p>
    <w:p>
      <w:pPr>
        <w:spacing w:before="140" w:after="40"/>
      </w:pPr>
      <w:r>
        <w:rPr>
          <w:rFonts w:ascii="Calibri" w:hAnsi="Calibri"/>
          <w:b/>
          <w:sz w:val="21"/>
        </w:rPr>
        <w:t>2.5.1  Impacto económico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Metodología para identificar sectores/empresas reutilizadoras y cuantificar o ilustrar el valor generado a partir de datos abiertos.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spacing w:before="140" w:after="40"/>
      </w:pPr>
      <w:r>
        <w:rPr>
          <w:rFonts w:ascii="Calibri" w:hAnsi="Calibri"/>
          <w:b/>
          <w:sz w:val="21"/>
        </w:rPr>
        <w:t>2.5.2  Impacto en espacios de datos (data spaces)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Metodología para valorar en qué medida los datos abiertos disponibles están siendo o podrían ser incorporados en espacios de datos sectoriales.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spacing w:before="140" w:after="40"/>
      </w:pPr>
      <w:r>
        <w:rPr>
          <w:rFonts w:ascii="Calibri" w:hAnsi="Calibri"/>
          <w:b/>
          <w:sz w:val="21"/>
        </w:rPr>
        <w:t>2.5.3  Impacto en la administración pública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Metodología para identificar mejoras de eficiencia, transparencia o prestación de servicios.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6" w:space="1" w:color="2E74B5"/>
        </w:pBdr>
      </w:pPr>
    </w:p>
    <w:p>
      <w:br w:type="page"/>
    </w:p>
    <w:p>
      <w:pPr>
        <w:spacing w:before="280" w:after="80"/>
      </w:pPr>
      <w:r>
        <w:rPr>
          <w:rFonts w:ascii="Calibri" w:hAnsi="Calibri"/>
          <w:b/>
          <w:color w:val="1F5C99"/>
          <w:sz w:val="26"/>
        </w:rPr>
        <w:t xml:space="preserve">3  </w:t>
      </w:r>
      <w:r>
        <w:rPr>
          <w:rFonts w:ascii="Calibri" w:hAnsi="Calibri"/>
          <w:b/>
          <w:color w:val="1F5C99"/>
          <w:sz w:val="26"/>
        </w:rPr>
        <w:t>MODELO DE DATOS Y ESTRUCTURACIÓN</w:t>
      </w:r>
      <w:r>
        <w:rPr>
          <w:rFonts w:ascii="Calibri" w:hAnsi="Calibri"/>
          <w:b/>
          <w:color w:val="378644"/>
          <w:sz w:val="20"/>
        </w:rPr>
        <w:t xml:space="preserve">   [Criterio 2 · hasta 5 puntos]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Describa el modelo de datos que utilizará para estructurar la información recopilada. Se valorará positivamente el uso de vocabularios y ontologías reconocidos (DCAT-AP, DCAT-AP ES), formatos técnicos que faciliten la reutilización y la utilización de estándares abiertos.</w:t>
      </w:r>
    </w:p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3.1  </w:t>
      </w:r>
      <w:r>
        <w:rPr>
          <w:rFonts w:ascii="Calibri" w:hAnsi="Calibri"/>
          <w:b/>
          <w:color w:val="2E74B5"/>
          <w:sz w:val="22"/>
        </w:rPr>
        <w:t>Descripción del modelo de datos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3.2  </w:t>
      </w:r>
      <w:r>
        <w:rPr>
          <w:rFonts w:ascii="Calibri" w:hAnsi="Calibri"/>
          <w:b/>
          <w:color w:val="2E74B5"/>
          <w:sz w:val="22"/>
        </w:rPr>
        <w:t>Vocabularios, ontologías y estándares utilizados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Indique qué vocabularios, ontologías o estándares abiertos adoptará y cómo se aplican a los distintos elementos del estudio.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041"/>
        <w:gridCol w:w="3041"/>
        <w:gridCol w:w="3041"/>
      </w:tblGrid>
      <w:tr>
        <w:tc>
          <w:tcPr>
            <w:tcW w:type="dxa" w:w="1984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Estándar / Ontología</w:t>
            </w:r>
          </w:p>
        </w:tc>
        <w:tc>
          <w:tcPr>
            <w:tcW w:type="dxa" w:w="3969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Aplicación en el estudio</w:t>
            </w:r>
          </w:p>
        </w:tc>
        <w:tc>
          <w:tcPr>
            <w:tcW w:type="dxa" w:w="3118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Justificación</w:t>
            </w:r>
          </w:p>
        </w:tc>
      </w:tr>
      <w:tr>
        <w:tc>
          <w:tcPr>
            <w:tcW w:type="dxa" w:w="1984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DCAT-AP</w:t>
            </w:r>
          </w:p>
        </w:tc>
        <w:tc>
          <w:tcPr>
            <w:tcW w:type="dxa" w:w="3969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3118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</w:tr>
      <w:tr>
        <w:tc>
          <w:tcPr>
            <w:tcW w:type="dxa" w:w="1984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DCAT-AP ES</w:t>
            </w:r>
          </w:p>
        </w:tc>
        <w:tc>
          <w:tcPr>
            <w:tcW w:type="dxa" w:w="3969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3118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</w:tr>
      <w:tr>
        <w:tc>
          <w:tcPr>
            <w:tcW w:type="dxa" w:w="1984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[Otro]</w:t>
            </w:r>
          </w:p>
        </w:tc>
        <w:tc>
          <w:tcPr>
            <w:tcW w:type="dxa" w:w="3969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  <w:tc>
          <w:tcPr>
            <w:tcW w:type="dxa" w:w="3118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[Descripción]</w:t>
            </w:r>
          </w:p>
        </w:tc>
      </w:tr>
    </w:tbl>
    <w:p/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3.3  </w:t>
      </w:r>
      <w:r>
        <w:rPr>
          <w:rFonts w:ascii="Calibri" w:hAnsi="Calibri"/>
          <w:b/>
          <w:color w:val="2E74B5"/>
          <w:sz w:val="22"/>
        </w:rPr>
        <w:t>Formatos de entrega y reutilización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Describa los formatos técnicos de los datos entregables (JSON-LD, CSV, RDF, Parquet, etc.) y cómo facilitan la reutilización posterior.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6" w:space="1" w:color="2E74B5"/>
        </w:pBdr>
      </w:pPr>
    </w:p>
    <w:p>
      <w:br w:type="page"/>
    </w:p>
    <w:p>
      <w:pPr>
        <w:spacing w:before="280" w:after="80"/>
      </w:pPr>
      <w:r>
        <w:rPr>
          <w:rFonts w:ascii="Calibri" w:hAnsi="Calibri"/>
          <w:b/>
          <w:color w:val="1F5C99"/>
          <w:sz w:val="26"/>
        </w:rPr>
        <w:t xml:space="preserve">4  </w:t>
      </w:r>
      <w:r>
        <w:rPr>
          <w:rFonts w:ascii="Calibri" w:hAnsi="Calibri"/>
          <w:b/>
          <w:color w:val="1F5C99"/>
          <w:sz w:val="26"/>
        </w:rPr>
        <w:t>PROPUESTA DE VISUALIZACIÓN Y COMUNICACIÓN DE RESULTADOS</w:t>
      </w:r>
      <w:r>
        <w:rPr>
          <w:rFonts w:ascii="Calibri" w:hAnsi="Calibri"/>
          <w:b/>
          <w:color w:val="378644"/>
          <w:sz w:val="20"/>
        </w:rPr>
        <w:t xml:space="preserve">   [Criterio 3 · hasta 5 puntos]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Describa cómo presentará los resultados del estudio de forma clara e interpretable tanto para audiencias técnicas como no técnicas.</w:t>
      </w:r>
    </w:p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4.1  </w:t>
      </w:r>
      <w:r>
        <w:rPr>
          <w:rFonts w:ascii="Calibri" w:hAnsi="Calibri"/>
          <w:b/>
          <w:color w:val="2E74B5"/>
          <w:sz w:val="22"/>
        </w:rPr>
        <w:t>Diseño de visualizaciones de datos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Describa los tipos de visualizaciones que propone (dashboards, mapas, series temporales, etc.) y las herramientas con las que las generará.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4.2  </w:t>
      </w:r>
      <w:r>
        <w:rPr>
          <w:rFonts w:ascii="Calibri" w:hAnsi="Calibri"/>
          <w:b/>
          <w:color w:val="2E74B5"/>
          <w:sz w:val="22"/>
        </w:rPr>
        <w:t>Resumen ejecutivo para audiencias no técnicas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Explique cómo estructurará el resumen ejecutivo del informe: extensión prevista, audiencia objetivo, elementos visuales y nivel de tecnicidad.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4.3  </w:t>
      </w:r>
      <w:r>
        <w:rPr>
          <w:rFonts w:ascii="Calibri" w:hAnsi="Calibri"/>
          <w:b/>
          <w:color w:val="2E74B5"/>
          <w:sz w:val="22"/>
        </w:rPr>
        <w:t>Publicación abierta de resultados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Describa la propuesta de publicación abierta de los resultados: plataforma prevista, licencia (Creative Commons u otra abierta) y formato de publicación.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6" w:space="1" w:color="2E74B5"/>
        </w:pBdr>
      </w:pPr>
    </w:p>
    <w:p>
      <w:br w:type="page"/>
    </w:p>
    <w:p>
      <w:pPr>
        <w:spacing w:before="280" w:after="80"/>
      </w:pPr>
      <w:r>
        <w:rPr>
          <w:rFonts w:ascii="Calibri" w:hAnsi="Calibri"/>
          <w:b/>
          <w:color w:val="1F5C99"/>
          <w:sz w:val="26"/>
        </w:rPr>
        <w:t xml:space="preserve">5  </w:t>
      </w:r>
      <w:r>
        <w:rPr>
          <w:rFonts w:ascii="Calibri" w:hAnsi="Calibri"/>
          <w:b/>
          <w:color w:val="1F5C99"/>
          <w:sz w:val="26"/>
        </w:rPr>
        <w:t>PLAN DE CONSULTA AL ECOSISTEMA</w:t>
      </w:r>
      <w:r>
        <w:rPr>
          <w:rFonts w:ascii="Calibri" w:hAnsi="Calibri"/>
          <w:b/>
          <w:color w:val="378644"/>
          <w:sz w:val="20"/>
        </w:rPr>
        <w:t xml:space="preserve">   [hasta 10 pts adicionales (criterio cuantificable)]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El plan de consulta es obligatorio para las 6 asociaciones listadas a continuación. Adicionalmente, se otorgan 2 puntos por cada organización adicional representativa del ecosistema de datos (hasta 5 organizaciones adicionales = máximo 10 puntos). Gaia-X España se reserva el derecho a inadmitir propuestas por falta de relevancia.</w:t>
      </w:r>
    </w:p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5.1  </w:t>
      </w:r>
      <w:r>
        <w:rPr>
          <w:rFonts w:ascii="Calibri" w:hAnsi="Calibri"/>
          <w:b/>
          <w:color w:val="2E74B5"/>
          <w:sz w:val="22"/>
        </w:rPr>
        <w:t>Proceso con las 6 asociaciones obligatorias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2280"/>
        <w:gridCol w:w="2280"/>
        <w:gridCol w:w="2280"/>
        <w:gridCol w:w="2280"/>
      </w:tblGrid>
      <w:tr>
        <w:tc>
          <w:tcPr>
            <w:tcW w:type="dxa" w:w="1417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Asociación</w:t>
            </w:r>
          </w:p>
        </w:tc>
        <w:tc>
          <w:tcPr>
            <w:tcW w:type="dxa" w:w="2835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Ámbito</w:t>
            </w:r>
          </w:p>
        </w:tc>
        <w:tc>
          <w:tcPr>
            <w:tcW w:type="dxa" w:w="1984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Canal previsto</w:t>
            </w:r>
          </w:p>
        </w:tc>
        <w:tc>
          <w:tcPr>
            <w:tcW w:type="dxa" w:w="2835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Fecha objetivo de contacto</w:t>
            </w:r>
          </w:p>
        </w:tc>
      </w:tr>
      <w:tr>
        <w:tc>
          <w:tcPr>
            <w:tcW w:type="dxa" w:w="1417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AMETIC</w:t>
            </w:r>
          </w:p>
        </w:tc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Tecnologías de la información, comunicaciones y electrónica</w:t>
            </w:r>
          </w:p>
        </w:tc>
        <w:tc>
          <w:tcPr>
            <w:tcW w:type="dxa" w:w="1984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[Email / Reunión / ...]</w:t>
            </w:r>
          </w:p>
        </w:tc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[Semana X]</w:t>
            </w:r>
          </w:p>
        </w:tc>
      </w:tr>
      <w:tr>
        <w:tc>
          <w:tcPr>
            <w:tcW w:type="dxa" w:w="1417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CONETIC</w:t>
            </w:r>
          </w:p>
        </w:tc>
        <w:tc>
          <w:tcPr>
            <w:tcW w:type="dxa" w:w="2835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Confederación de asociaciones de empresas de tecnología</w:t>
            </w:r>
          </w:p>
        </w:tc>
        <w:tc>
          <w:tcPr>
            <w:tcW w:type="dxa" w:w="1984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[Email / Reunión / ...]</w:t>
            </w:r>
          </w:p>
        </w:tc>
        <w:tc>
          <w:tcPr>
            <w:tcW w:type="dxa" w:w="2835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[Semana X]</w:t>
            </w:r>
          </w:p>
        </w:tc>
      </w:tr>
      <w:tr>
        <w:tc>
          <w:tcPr>
            <w:tcW w:type="dxa" w:w="1417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FEMP</w:t>
            </w:r>
          </w:p>
        </w:tc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Federación Española de Municipios y Provincias</w:t>
            </w:r>
          </w:p>
        </w:tc>
        <w:tc>
          <w:tcPr>
            <w:tcW w:type="dxa" w:w="1984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[Email / Reunión / ...]</w:t>
            </w:r>
          </w:p>
        </w:tc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[Semana X]</w:t>
            </w:r>
          </w:p>
        </w:tc>
      </w:tr>
      <w:tr>
        <w:tc>
          <w:tcPr>
            <w:tcW w:type="dxa" w:w="1417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DAMA Spain</w:t>
            </w:r>
          </w:p>
        </w:tc>
        <w:tc>
          <w:tcPr>
            <w:tcW w:type="dxa" w:w="2835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Comunidad profesional de gestión del dato</w:t>
            </w:r>
          </w:p>
        </w:tc>
        <w:tc>
          <w:tcPr>
            <w:tcW w:type="dxa" w:w="1984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[Email / Reunión / ...]</w:t>
            </w:r>
          </w:p>
        </w:tc>
        <w:tc>
          <w:tcPr>
            <w:tcW w:type="dxa" w:w="2835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[Semana X]</w:t>
            </w:r>
          </w:p>
        </w:tc>
      </w:tr>
      <w:tr>
        <w:tc>
          <w:tcPr>
            <w:tcW w:type="dxa" w:w="1417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ASEDIE</w:t>
            </w:r>
          </w:p>
        </w:tc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Asociación Multisectorial de la Información</w:t>
            </w:r>
          </w:p>
        </w:tc>
        <w:tc>
          <w:tcPr>
            <w:tcW w:type="dxa" w:w="1984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[Email / Reunión / ...]</w:t>
            </w:r>
          </w:p>
        </w:tc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[Semana X]</w:t>
            </w:r>
          </w:p>
        </w:tc>
      </w:tr>
      <w:tr>
        <w:tc>
          <w:tcPr>
            <w:tcW w:type="dxa" w:w="1417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DIGITALES</w:t>
            </w:r>
          </w:p>
        </w:tc>
        <w:tc>
          <w:tcPr>
            <w:tcW w:type="dxa" w:w="2835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Asociación de empresas digitales</w:t>
            </w:r>
          </w:p>
        </w:tc>
        <w:tc>
          <w:tcPr>
            <w:tcW w:type="dxa" w:w="1984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[Email / Reunión / ...]</w:t>
            </w:r>
          </w:p>
        </w:tc>
        <w:tc>
          <w:tcPr>
            <w:tcW w:type="dxa" w:w="2835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[Semana X]</w:t>
            </w:r>
          </w:p>
        </w:tc>
      </w:tr>
    </w:tbl>
    <w:p/>
    <w:p>
      <w:pPr>
        <w:spacing w:before="140" w:after="40"/>
      </w:pPr>
      <w:r>
        <w:rPr>
          <w:rFonts w:ascii="Calibri" w:hAnsi="Calibri"/>
          <w:b/>
          <w:sz w:val="21"/>
        </w:rPr>
        <w:t>Cuestionario / guía de preguntas propuesta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Incluya a continuación el cuestionario o la guía de preguntas que enviará a las asociaciones para identificar los conjuntos de datos prioritarios. La consulta deberá incluir: canal de comunicación utilizado, cuestionario, respuestas recibidas y síntesis.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spacing w:before="140" w:after="40"/>
      </w:pPr>
      <w:r>
        <w:rPr>
          <w:rFonts w:ascii="Calibri" w:hAnsi="Calibri"/>
          <w:b/>
          <w:sz w:val="21"/>
        </w:rPr>
        <w:t>Plan de seguimiento y síntesis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Describa cómo consolidará las respuestas recibidas y cómo identificará los datasets prioritarios derivados de la consulta.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spacing w:before="200" w:after="60"/>
      </w:pPr>
      <w:r>
        <w:rPr>
          <w:rFonts w:ascii="Calibri" w:hAnsi="Calibri"/>
          <w:b/>
          <w:color w:val="2E74B5"/>
          <w:sz w:val="22"/>
        </w:rPr>
        <w:t xml:space="preserve">5.2  </w:t>
      </w:r>
      <w:r>
        <w:rPr>
          <w:rFonts w:ascii="Calibri" w:hAnsi="Calibri"/>
          <w:b/>
          <w:color w:val="2E74B5"/>
          <w:sz w:val="22"/>
        </w:rPr>
        <w:t>Organizaciones adicionales propuestas</w:t>
      </w:r>
      <w:r>
        <w:rPr>
          <w:rFonts w:ascii="Calibri" w:hAnsi="Calibri"/>
          <w:b/>
          <w:color w:val="378644"/>
          <w:sz w:val="19"/>
        </w:rPr>
        <w:t xml:space="preserve">   [+2 pts/organización · máximo 10 pts (5 orgs)]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Identifique y justifique las organizaciones adicionales a las seis obligatorias. Solo se computan organizaciones representativas del ecosistema de datos. Deje vacías las filas que no utilice.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041"/>
        <w:gridCol w:w="3041"/>
        <w:gridCol w:w="3041"/>
      </w:tblGrid>
      <w:tr>
        <w:tc>
          <w:tcPr>
            <w:tcW w:type="dxa" w:w="1984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Organización adicional</w:t>
            </w:r>
          </w:p>
        </w:tc>
        <w:tc>
          <w:tcPr>
            <w:tcW w:type="dxa" w:w="2551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Ámbito / Representatividad</w:t>
            </w:r>
          </w:p>
        </w:tc>
        <w:tc>
          <w:tcPr>
            <w:tcW w:type="dxa" w:w="4535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Justificación de su relevancia para el estudio</w:t>
            </w:r>
          </w:p>
        </w:tc>
      </w:tr>
      <w:tr>
        <w:trPr>
          <w:trHeight w:val="680" w:hRule="atLeast"/>
        </w:trPr>
        <w:tc>
          <w:tcPr>
            <w:tcW w:type="dxa" w:w="1984"/>
            <w:shd w:val="clear" w:color="auto" w:fill="F2F2F2"/>
          </w:tcPr>
          <w:p/>
        </w:tc>
        <w:tc>
          <w:tcPr>
            <w:tcW w:type="dxa" w:w="2551"/>
            <w:shd w:val="clear" w:color="auto" w:fill="F2F2F2"/>
          </w:tcPr>
          <w:p/>
        </w:tc>
        <w:tc>
          <w:tcPr>
            <w:tcW w:type="dxa" w:w="4535"/>
            <w:shd w:val="clear" w:color="auto" w:fill="F2F2F2"/>
          </w:tcPr>
          <w:p/>
        </w:tc>
      </w:tr>
      <w:tr>
        <w:trPr>
          <w:trHeight w:val="680" w:hRule="atLeast"/>
        </w:trPr>
        <w:tc>
          <w:tcPr>
            <w:tcW w:type="dxa" w:w="1984"/>
            <w:shd w:val="clear" w:color="auto" w:fill="FFFFFF"/>
          </w:tcPr>
          <w:p/>
        </w:tc>
        <w:tc>
          <w:tcPr>
            <w:tcW w:type="dxa" w:w="2551"/>
            <w:shd w:val="clear" w:color="auto" w:fill="FFFFFF"/>
          </w:tcPr>
          <w:p/>
        </w:tc>
        <w:tc>
          <w:tcPr>
            <w:tcW w:type="dxa" w:w="4535"/>
            <w:shd w:val="clear" w:color="auto" w:fill="FFFFFF"/>
          </w:tcPr>
          <w:p/>
        </w:tc>
      </w:tr>
      <w:tr>
        <w:trPr>
          <w:trHeight w:val="680" w:hRule="atLeast"/>
        </w:trPr>
        <w:tc>
          <w:tcPr>
            <w:tcW w:type="dxa" w:w="1984"/>
            <w:shd w:val="clear" w:color="auto" w:fill="F2F2F2"/>
          </w:tcPr>
          <w:p/>
        </w:tc>
        <w:tc>
          <w:tcPr>
            <w:tcW w:type="dxa" w:w="2551"/>
            <w:shd w:val="clear" w:color="auto" w:fill="F2F2F2"/>
          </w:tcPr>
          <w:p/>
        </w:tc>
        <w:tc>
          <w:tcPr>
            <w:tcW w:type="dxa" w:w="4535"/>
            <w:shd w:val="clear" w:color="auto" w:fill="F2F2F2"/>
          </w:tcPr>
          <w:p/>
        </w:tc>
      </w:tr>
      <w:tr>
        <w:trPr>
          <w:trHeight w:val="680" w:hRule="atLeast"/>
        </w:trPr>
        <w:tc>
          <w:tcPr>
            <w:tcW w:type="dxa" w:w="1984"/>
            <w:shd w:val="clear" w:color="auto" w:fill="FFFFFF"/>
          </w:tcPr>
          <w:p/>
        </w:tc>
        <w:tc>
          <w:tcPr>
            <w:tcW w:type="dxa" w:w="2551"/>
            <w:shd w:val="clear" w:color="auto" w:fill="FFFFFF"/>
          </w:tcPr>
          <w:p/>
        </w:tc>
        <w:tc>
          <w:tcPr>
            <w:tcW w:type="dxa" w:w="4535"/>
            <w:shd w:val="clear" w:color="auto" w:fill="FFFFFF"/>
          </w:tcPr>
          <w:p/>
        </w:tc>
      </w:tr>
      <w:tr>
        <w:trPr>
          <w:trHeight w:val="680" w:hRule="atLeast"/>
        </w:trPr>
        <w:tc>
          <w:tcPr>
            <w:tcW w:type="dxa" w:w="1984"/>
            <w:shd w:val="clear" w:color="auto" w:fill="F2F2F2"/>
          </w:tcPr>
          <w:p/>
        </w:tc>
        <w:tc>
          <w:tcPr>
            <w:tcW w:type="dxa" w:w="2551"/>
            <w:shd w:val="clear" w:color="auto" w:fill="F2F2F2"/>
          </w:tcPr>
          <w:p/>
        </w:tc>
        <w:tc>
          <w:tcPr>
            <w:tcW w:type="dxa" w:w="4535"/>
            <w:shd w:val="clear" w:color="auto" w:fill="F2F2F2"/>
          </w:tcPr>
          <w:p/>
        </w:tc>
      </w:tr>
    </w:tbl>
    <w:p/>
    <w:p>
      <w:pPr>
        <w:pBdr>
          <w:bottom w:val="single" w:sz="6" w:space="1" w:color="2E74B5"/>
        </w:pBdr>
      </w:pPr>
    </w:p>
    <w:p>
      <w:br w:type="page"/>
    </w:p>
    <w:p>
      <w:pPr>
        <w:spacing w:before="280" w:after="80"/>
      </w:pPr>
      <w:r>
        <w:rPr>
          <w:rFonts w:ascii="Calibri" w:hAnsi="Calibri"/>
          <w:b/>
          <w:color w:val="1F5C99"/>
          <w:sz w:val="26"/>
        </w:rPr>
        <w:t xml:space="preserve">6  </w:t>
      </w:r>
      <w:r>
        <w:rPr>
          <w:rFonts w:ascii="Calibri" w:hAnsi="Calibri"/>
          <w:b/>
          <w:color w:val="1F5C99"/>
          <w:sz w:val="26"/>
        </w:rPr>
        <w:t>AMPLIACIÓN DEL ALCANCE DEL ANÁLISIS</w:t>
      </w:r>
      <w:r>
        <w:rPr>
          <w:rFonts w:ascii="Calibri" w:hAnsi="Calibri"/>
          <w:b/>
          <w:color w:val="378644"/>
          <w:sz w:val="20"/>
        </w:rPr>
        <w:t xml:space="preserve">   [hasta 10 pts adicionales · 5 pts/ámbito · máximo 2 ámbitos]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Marque los ámbitos adicionales que propone incluir en el análisis y justifique cómo los abordará. Cada ámbito admitido por Gaia-X España suma 5 puntos, hasta un máximo de 10 puntos (2 ámbitos). Los tres ámbitos elegibles están indicados a continuación.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041"/>
        <w:gridCol w:w="3041"/>
        <w:gridCol w:w="3041"/>
      </w:tblGrid>
      <w:tr>
        <w:tc>
          <w:tcPr>
            <w:tcW w:type="dxa" w:w="2835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Ámbito adicional elegible</w:t>
            </w:r>
          </w:p>
        </w:tc>
        <w:tc>
          <w:tcPr>
            <w:tcW w:type="dxa" w:w="1134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¿Lo propone?</w:t>
            </w:r>
          </w:p>
        </w:tc>
        <w:tc>
          <w:tcPr>
            <w:tcW w:type="dxa" w:w="5102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Justificación y alcance propuesto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Entidades públicas empresariales o sector público institucional</w:t>
            </w:r>
          </w:p>
        </w:tc>
        <w:tc>
          <w:tcPr>
            <w:tcW w:type="dxa" w:w="1134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 ] Sí  [ ] No</w:t>
            </w:r>
          </w:p>
        </w:tc>
        <w:tc>
          <w:tcPr>
            <w:tcW w:type="dxa" w:w="5102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[Describa cómo lo abordará]</w:t>
            </w:r>
          </w:p>
        </w:tc>
      </w:tr>
      <w:tr>
        <w:tc>
          <w:tcPr>
            <w:tcW w:type="dxa" w:w="2835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Análisis comparativo con otros Estados miembros de la UE (mínimo 3 países)</w:t>
            </w:r>
          </w:p>
        </w:tc>
        <w:tc>
          <w:tcPr>
            <w:tcW w:type="dxa" w:w="1134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 ] Sí  [ ] No</w:t>
            </w:r>
          </w:p>
        </w:tc>
        <w:tc>
          <w:tcPr>
            <w:tcW w:type="dxa" w:w="5102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[Describa los países y el enfoque comparativo]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Iniciativas de publicación de datos del sector privado o tercer sector</w:t>
            </w:r>
          </w:p>
        </w:tc>
        <w:tc>
          <w:tcPr>
            <w:tcW w:type="dxa" w:w="1134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 ] Sí  [ ] No</w:t>
            </w:r>
          </w:p>
        </w:tc>
        <w:tc>
          <w:tcPr>
            <w:tcW w:type="dxa" w:w="5102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[Describa el alcance y las fuentes]</w:t>
            </w:r>
          </w:p>
        </w:tc>
      </w:tr>
    </w:tbl>
    <w:p/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Para cada ámbito marcado como 'Sí', amplíe la justificación y el enfoque metodológico en el espacio a continuación.</w:t>
      </w: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4" w:space="1" w:color="CCCCCC"/>
        </w:pBdr>
        <w:spacing w:before="0" w:after="120"/>
      </w:pPr>
    </w:p>
    <w:p>
      <w:pPr>
        <w:pBdr>
          <w:bottom w:val="single" w:sz="6" w:space="1" w:color="2E74B5"/>
        </w:pBdr>
      </w:pPr>
    </w:p>
    <w:p>
      <w:br w:type="page"/>
    </w:p>
    <w:p>
      <w:pPr>
        <w:spacing w:before="280" w:after="80"/>
      </w:pPr>
      <w:r>
        <w:rPr>
          <w:rFonts w:ascii="Calibri" w:hAnsi="Calibri"/>
          <w:b/>
          <w:color w:val="1F5C99"/>
          <w:sz w:val="26"/>
        </w:rPr>
        <w:t xml:space="preserve">7  </w:t>
      </w:r>
      <w:r>
        <w:rPr>
          <w:rFonts w:ascii="Calibri" w:hAnsi="Calibri"/>
          <w:b/>
          <w:color w:val="1F5C99"/>
          <w:sz w:val="26"/>
        </w:rPr>
        <w:t>CRONOGRAMA DE EJECUCIÓN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Detalle el cronograma de ejecución de 12 semanas. Marque con una 'X' las semanas en que se desarrolla cada actividad/entregable. Añada filas si es necesario. Los hitos fijos del pliego están prellenados; los del licitador son estimaciones.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</w:tblGrid>
      <w:tr>
        <w:tc>
          <w:tcPr>
            <w:tcW w:type="dxa" w:w="3118"/>
            <w:shd w:val="clear" w:color="auto" w:fill="1F5C99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Actividad / Entregable</w:t>
            </w:r>
          </w:p>
        </w:tc>
        <w:tc>
          <w:tcPr>
            <w:tcW w:type="dxa" w:w="482"/>
            <w:shd w:val="clear" w:color="auto" w:fill="1F5C99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S1</w:t>
            </w:r>
          </w:p>
        </w:tc>
        <w:tc>
          <w:tcPr>
            <w:tcW w:type="dxa" w:w="482"/>
            <w:shd w:val="clear" w:color="auto" w:fill="1F5C99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S2</w:t>
            </w:r>
          </w:p>
        </w:tc>
        <w:tc>
          <w:tcPr>
            <w:tcW w:type="dxa" w:w="482"/>
            <w:shd w:val="clear" w:color="auto" w:fill="1F5C99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S3</w:t>
            </w:r>
          </w:p>
        </w:tc>
        <w:tc>
          <w:tcPr>
            <w:tcW w:type="dxa" w:w="482"/>
            <w:shd w:val="clear" w:color="auto" w:fill="1F5C99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S4</w:t>
            </w:r>
          </w:p>
        </w:tc>
        <w:tc>
          <w:tcPr>
            <w:tcW w:type="dxa" w:w="482"/>
            <w:shd w:val="clear" w:color="auto" w:fill="1F5C99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S5</w:t>
            </w:r>
          </w:p>
        </w:tc>
        <w:tc>
          <w:tcPr>
            <w:tcW w:type="dxa" w:w="482"/>
            <w:shd w:val="clear" w:color="auto" w:fill="1F5C99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S6</w:t>
            </w:r>
          </w:p>
        </w:tc>
        <w:tc>
          <w:tcPr>
            <w:tcW w:type="dxa" w:w="482"/>
            <w:shd w:val="clear" w:color="auto" w:fill="1F5C99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S7</w:t>
            </w:r>
          </w:p>
        </w:tc>
        <w:tc>
          <w:tcPr>
            <w:tcW w:type="dxa" w:w="482"/>
            <w:shd w:val="clear" w:color="auto" w:fill="1F5C99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S8</w:t>
            </w:r>
          </w:p>
        </w:tc>
        <w:tc>
          <w:tcPr>
            <w:tcW w:type="dxa" w:w="482"/>
            <w:shd w:val="clear" w:color="auto" w:fill="1F5C99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S9</w:t>
            </w:r>
          </w:p>
        </w:tc>
        <w:tc>
          <w:tcPr>
            <w:tcW w:type="dxa" w:w="482"/>
            <w:shd w:val="clear" w:color="auto" w:fill="1F5C99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S10</w:t>
            </w:r>
          </w:p>
        </w:tc>
        <w:tc>
          <w:tcPr>
            <w:tcW w:type="dxa" w:w="482"/>
            <w:shd w:val="clear" w:color="auto" w:fill="1F5C99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S11</w:t>
            </w:r>
          </w:p>
        </w:tc>
        <w:tc>
          <w:tcPr>
            <w:tcW w:type="dxa" w:w="482"/>
            <w:shd w:val="clear" w:color="auto" w:fill="1F5C99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S12</w:t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2F2F2"/>
          </w:tcPr>
          <w:p>
            <w:r>
              <w:rPr>
                <w:rFonts w:ascii="Times New Roman" w:hAnsi="Times New Roman"/>
                <w:b/>
                <w:sz w:val="17"/>
              </w:rPr>
              <w:t>Entregable 0 — Metodología y plan de trabajo</w:t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1F5C99"/>
                <w:sz w:val="17"/>
              </w:rPr>
              <w:t>✓</w:t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2F2F2"/>
          </w:tcPr>
          <w:p>
            <w:r>
              <w:rPr>
                <w:rFonts w:ascii="Times New Roman" w:hAnsi="Times New Roman"/>
                <w:b/>
                <w:sz w:val="17"/>
              </w:rPr>
              <w:t>Sesión de Contraste Inicial (con GTs Gaia-X)</w:t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1F5C99"/>
                <w:sz w:val="17"/>
              </w:rPr>
              <w:t>✓</w:t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1F5C99"/>
                <w:sz w:val="17"/>
              </w:rPr>
              <w:t>✓</w:t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1F5C99"/>
                <w:sz w:val="17"/>
              </w:rPr>
              <w:t>✓</w:t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2F2F2"/>
          </w:tcPr>
          <w:p>
            <w:r>
              <w:rPr>
                <w:rFonts w:ascii="Times New Roman" w:hAnsi="Times New Roman"/>
                <w:b/>
                <w:sz w:val="17"/>
              </w:rPr>
              <w:t>Entregable 1 — Inventario preliminar</w:t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1F5C99"/>
                <w:sz w:val="17"/>
              </w:rPr>
              <w:t>✓</w:t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2F2F2"/>
          </w:tcPr>
          <w:p>
            <w:r>
              <w:rPr>
                <w:rFonts w:ascii="Times New Roman" w:hAnsi="Times New Roman"/>
                <w:b/>
                <w:sz w:val="17"/>
              </w:rPr>
              <w:t>Entregable 2 — Análisis completo</w:t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1F5C99"/>
                <w:sz w:val="17"/>
              </w:rPr>
              <w:t>✓</w:t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2F2F2"/>
          </w:tcPr>
          <w:p>
            <w:r>
              <w:rPr>
                <w:rFonts w:ascii="Times New Roman" w:hAnsi="Times New Roman"/>
                <w:b/>
                <w:sz w:val="17"/>
              </w:rPr>
              <w:t>Sesión de Revisión de Resultados (con GTs)</w:t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1F5C99"/>
                <w:sz w:val="17"/>
              </w:rPr>
              <w:t>✓</w:t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1F5C99"/>
                <w:sz w:val="17"/>
              </w:rPr>
              <w:t>✓</w:t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1F5C99"/>
                <w:sz w:val="17"/>
              </w:rPr>
              <w:t>✓</w:t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2F2F2"/>
          </w:tcPr>
          <w:p>
            <w:r>
              <w:rPr>
                <w:rFonts w:ascii="Times New Roman" w:hAnsi="Times New Roman"/>
                <w:b/>
                <w:sz w:val="17"/>
              </w:rPr>
              <w:t>Entregable 3 — Informe final y datos</w:t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1F5C99"/>
                <w:sz w:val="17"/>
              </w:rPr>
              <w:t>✓</w:t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7"/>
              </w:rPr>
              <w:t>Recopilación y procesamiento de datos (AGE)</w:t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7"/>
              </w:rPr>
              <w:t>Recopilación y procesamiento de datos (CCAA)</w:t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7"/>
              </w:rPr>
              <w:t>Recopilación y procesamiento de datos (EELL)</w:t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7"/>
              </w:rPr>
              <w:t>Análisis de calidad y priorización de datasets</w:t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7"/>
              </w:rPr>
              <w:t>Consulta al ecosistema (envío cuestionarios)</w:t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7"/>
              </w:rPr>
              <w:t>Recepción y síntesis de respuestas del ecosistema</w:t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7"/>
              </w:rPr>
              <w:t>Análisis HVD (Regl. UE 2023/138)</w:t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7"/>
              </w:rPr>
              <w:t>Evaluación de impacto</w:t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7"/>
              </w:rPr>
              <w:t>Redacción del informe final</w:t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96" w:hRule="atLeast"/>
        </w:trPr>
        <w:tc>
          <w:tcPr>
            <w:tcW w:type="dxa" w:w="3118"/>
            <w:shd w:val="clear" w:color="auto" w:fill="FFFFFF"/>
          </w:tcPr>
          <w:p>
            <w:r>
              <w:rPr>
                <w:rFonts w:ascii="Times New Roman" w:hAnsi="Times New Roman"/>
                <w:b w:val="0"/>
                <w:sz w:val="17"/>
              </w:rPr>
              <w:t>[Actividad adicional del licitador]</w:t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type="dxa" w:w="482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sz w:val="17"/>
              </w:rPr>
            </w:r>
          </w:p>
        </w:tc>
      </w:tr>
    </w:tbl>
    <w:p/>
    <w:p>
      <w:r>
        <w:rPr>
          <w:rFonts w:ascii="Times New Roman" w:hAnsi="Times New Roman"/>
          <w:i/>
          <w:color w:val="707070"/>
          <w:sz w:val="18"/>
        </w:rPr>
        <w:t>Los hitos marcados en gris son fijos según el pliego. Las filas en blanco son actividades propias del licitador — marque las semanas correspondientes con una 'X'.</w:t>
      </w:r>
    </w:p>
    <w:p>
      <w:pPr>
        <w:pBdr>
          <w:bottom w:val="single" w:sz="6" w:space="1" w:color="2E74B5"/>
        </w:pBdr>
      </w:pPr>
    </w:p>
    <w:p>
      <w:br w:type="page"/>
    </w:p>
    <w:p>
      <w:pPr>
        <w:spacing w:before="280" w:after="80"/>
      </w:pPr>
      <w:r>
        <w:rPr>
          <w:rFonts w:ascii="Calibri" w:hAnsi="Calibri"/>
          <w:b/>
          <w:color w:val="1F5C99"/>
          <w:sz w:val="26"/>
        </w:rPr>
        <w:t xml:space="preserve">8  </w:t>
      </w:r>
      <w:r>
        <w:rPr>
          <w:rFonts w:ascii="Calibri" w:hAnsi="Calibri"/>
          <w:b/>
          <w:color w:val="1F5C99"/>
          <w:sz w:val="26"/>
        </w:rPr>
        <w:t>LISTADO DE DOCUMENTOS ADJUNTOS AL ARCHIVO B</w:t>
      </w:r>
    </w:p>
    <w:p>
      <w:pPr>
        <w:spacing w:before="40" w:after="80"/>
        <w:ind w:left="227"/>
      </w:pPr>
      <w:r>
        <w:rPr>
          <w:rFonts w:ascii="Times New Roman" w:hAnsi="Times New Roman"/>
          <w:i/>
          <w:color w:val="707070"/>
          <w:sz w:val="19"/>
        </w:rPr>
        <w:t>▸ Verifique que todos los documentos obligatorios están adjuntos antes de enviar la propuesta. Marque la casilla correspondiente. Los documentos opcionales solo aplican si corresponde.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2280"/>
        <w:gridCol w:w="2280"/>
        <w:gridCol w:w="2280"/>
        <w:gridCol w:w="2280"/>
      </w:tblGrid>
      <w:tr>
        <w:tc>
          <w:tcPr>
            <w:tcW w:type="dxa" w:w="397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</w:r>
          </w:p>
        </w:tc>
        <w:tc>
          <w:tcPr>
            <w:tcW w:type="dxa" w:w="5669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Documento</w:t>
            </w:r>
          </w:p>
        </w:tc>
        <w:tc>
          <w:tcPr>
            <w:tcW w:type="dxa" w:w="1417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Obligatorio</w:t>
            </w:r>
          </w:p>
        </w:tc>
        <w:tc>
          <w:tcPr>
            <w:tcW w:type="dxa" w:w="1587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Adjunto</w:t>
            </w:r>
          </w:p>
        </w:tc>
      </w:tr>
      <w:tr>
        <w:tc>
          <w:tcPr>
            <w:tcW w:type="dxa" w:w="397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5669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B_PlantillaCV — dos CVs: uno por perfil obligatorio (Perfil 1: Experto datos abiertos / Perfil 2: Experto políticas públicas digitales)</w:t>
            </w:r>
          </w:p>
        </w:tc>
        <w:tc>
          <w:tcPr>
            <w:tcW w:type="dxa" w:w="1417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Sí</w:t>
            </w:r>
          </w:p>
        </w:tc>
        <w:tc>
          <w:tcPr>
            <w:tcW w:type="dxa" w:w="1587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 ] Sí  [ ] No aplica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5669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B_AcreditacionExperiencia — formulario de acreditación de experiencia (Criterio 4)</w:t>
            </w:r>
          </w:p>
        </w:tc>
        <w:tc>
          <w:tcPr>
            <w:tcW w:type="dxa" w:w="1417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Sí</w:t>
            </w:r>
          </w:p>
        </w:tc>
        <w:tc>
          <w:tcPr>
            <w:tcW w:type="dxa" w:w="1587"/>
            <w:shd w:val="clear" w:color="auto" w:fill="FFFFFF"/>
          </w:tcPr>
          <w:p>
            <w:r>
              <w:rPr>
                <w:rFonts w:ascii="Times New Roman" w:hAnsi="Times New Roman"/>
                <w:sz w:val="20"/>
              </w:rPr>
              <w:t>[ ] Sí  [ ] No aplica</w:t>
            </w:r>
          </w:p>
        </w:tc>
      </w:tr>
      <w:tr>
        <w:tc>
          <w:tcPr>
            <w:tcW w:type="dxa" w:w="397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5669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B_Documento_Confidencialidad — lista de apartados confidenciales</w:t>
            </w:r>
          </w:p>
        </w:tc>
        <w:tc>
          <w:tcPr>
            <w:tcW w:type="dxa" w:w="1417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Opcional</w:t>
            </w:r>
          </w:p>
        </w:tc>
        <w:tc>
          <w:tcPr>
            <w:tcW w:type="dxa" w:w="1587"/>
            <w:shd w:val="clear" w:color="auto" w:fill="F2F2F2"/>
          </w:tcPr>
          <w:p>
            <w:r>
              <w:rPr>
                <w:rFonts w:ascii="Times New Roman" w:hAnsi="Times New Roman"/>
                <w:sz w:val="20"/>
              </w:rPr>
              <w:t>[ ] Sí  [ ] No aplica</w:t>
            </w:r>
          </w:p>
        </w:tc>
      </w:tr>
    </w:tbl>
    <w:p/>
    <w:p>
      <w:pPr>
        <w:pBdr>
          <w:bottom w:val="single" w:sz="6" w:space="1" w:color="2E74B5"/>
        </w:pBdr>
      </w:pPr>
    </w:p>
    <w:p>
      <w:pPr>
        <w:spacing w:before="280" w:after="80"/>
      </w:pPr>
      <w:r>
        <w:rPr>
          <w:rFonts w:ascii="Calibri" w:hAnsi="Calibri"/>
          <w:b/>
          <w:color w:val="1F5C99"/>
          <w:sz w:val="26"/>
        </w:rPr>
        <w:t>DECLARACIÓN Y FIRMA</w:t>
      </w:r>
    </w:p>
    <w:p>
      <w:pPr>
        <w:spacing w:before="40" w:after="80"/>
      </w:pPr>
      <w:r>
        <w:rPr>
          <w:rFonts w:ascii="Times New Roman" w:hAnsi="Times New Roman"/>
          <w:sz w:val="21"/>
        </w:rPr>
        <w:t>El/La abajo firmante, actuando en nombre y representación de la entidad licitadora, declara que la información contenida en la presente propuesta técnica es veraz, completa y verificable, que la entidad tiene capacidad legal para contratar y que acepta íntegramente las condiciones del Pliego (expediente GAIX-ESP-2026-002). La presente oferta tiene una validez de 90 días naturales desde la fecha límite de presentación.</w:t>
      </w:r>
    </w:p>
    <w:p/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Nombre y apellidos del firmante: </w:t>
      </w:r>
      <w:r>
        <w:rPr>
          <w:rFonts w:ascii="Times New Roman" w:hAnsi="Times New Roman"/>
          <w:sz w:val="21"/>
        </w:rPr>
        <w:t>[NOMBRE Y APELLIDOS]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Cargo: </w:t>
      </w:r>
      <w:r>
        <w:rPr>
          <w:rFonts w:ascii="Times New Roman" w:hAnsi="Times New Roman"/>
          <w:sz w:val="21"/>
        </w:rPr>
        <w:t>[CARGO]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En nombre de: </w:t>
      </w:r>
      <w:r>
        <w:rPr>
          <w:rFonts w:ascii="Times New Roman" w:hAnsi="Times New Roman"/>
          <w:sz w:val="21"/>
        </w:rPr>
        <w:t>[RAZÓN SOCIAL]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CIF de la empresa: </w:t>
      </w:r>
      <w:r>
        <w:rPr>
          <w:rFonts w:ascii="Times New Roman" w:hAnsi="Times New Roman"/>
          <w:sz w:val="21"/>
        </w:rPr>
        <w:t>[CIF]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Lugar y fecha: </w:t>
      </w:r>
      <w:r>
        <w:rPr>
          <w:rFonts w:ascii="Times New Roman" w:hAnsi="Times New Roman"/>
          <w:sz w:val="21"/>
        </w:rPr>
        <w:t>[CIUDAD], a [DÍA] de [MES] de 2026</w:t>
      </w:r>
    </w:p>
    <w:p/>
    <w:p>
      <w:pPr>
        <w:spacing w:before="40" w:after="80"/>
      </w:pPr>
      <w:r>
        <w:rPr>
          <w:rFonts w:ascii="Times New Roman" w:hAnsi="Times New Roman"/>
          <w:sz w:val="21"/>
        </w:rPr>
        <w:t>Firma y sello de la entidad:</w:t>
      </w:r>
    </w:p>
    <w:p/>
    <w:p/>
    <w:p>
      <w:pPr>
        <w:spacing w:before="40" w:after="80"/>
      </w:pPr>
      <w:r>
        <w:rPr>
          <w:rFonts w:ascii="Times New Roman" w:hAnsi="Times New Roman"/>
          <w:sz w:val="21"/>
        </w:rPr>
        <w:t>____________________________________________</w:t>
      </w:r>
    </w:p>
    <w:p>
      <w:pPr>
        <w:pBdr>
          <w:bottom w:val="single" w:sz="6" w:space="1" w:color="2E74B5"/>
        </w:pBdr>
      </w:pPr>
    </w:p>
    <w:p>
      <w:r>
        <w:rPr>
          <w:rFonts w:ascii="Times New Roman" w:hAnsi="Times New Roman"/>
          <w:i/>
          <w:color w:val="707070"/>
          <w:sz w:val="18"/>
        </w:rPr>
        <w:t>Expediente: GAIX-ESP-2026-002 · Gaia-X España · Plazo de presentación: 17 de julio de 2026, 17:00 h · Canal: susana.estables@gaiax-spain.com</w:t>
      </w:r>
    </w:p>
    <w:sectPr w:rsidR="00FC693F" w:rsidRPr="0006063C" w:rsidSect="00034616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